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0F" w:rsidRDefault="00A56F24">
      <w:pPr>
        <w:spacing w:before="0" w:after="0"/>
        <w:rPr>
          <w:rFonts w:cs="Arial"/>
          <w:b/>
        </w:rPr>
      </w:pPr>
      <w:bookmarkStart w:id="0" w:name="_GoBack"/>
      <w:bookmarkEnd w:id="0"/>
      <w:r>
        <w:rPr>
          <w:noProof/>
        </w:rPr>
        <w:drawing>
          <wp:anchor distT="0" distB="0" distL="114300" distR="114300" simplePos="0" relativeHeight="251658240" behindDoc="0" locked="0" layoutInCell="1" allowOverlap="1" wp14:anchorId="3FA60695" wp14:editId="5F574DCE">
            <wp:simplePos x="0" y="0"/>
            <wp:positionH relativeFrom="margin">
              <wp:posOffset>3567430</wp:posOffset>
            </wp:positionH>
            <wp:positionV relativeFrom="margin">
              <wp:posOffset>-247650</wp:posOffset>
            </wp:positionV>
            <wp:extent cx="2790825" cy="1254125"/>
            <wp:effectExtent l="0" t="0" r="9525" b="3175"/>
            <wp:wrapSquare wrapText="bothSides"/>
            <wp:docPr id="3" name="Picture 3" descr="X:\Admin management\NHS Logos\Salisbur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management\NHS Logos\Salisbury NHS Foundation Trust RGB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254125"/>
                    </a:xfrm>
                    <a:prstGeom prst="rect">
                      <a:avLst/>
                    </a:prstGeom>
                    <a:noFill/>
                    <a:ln>
                      <a:noFill/>
                    </a:ln>
                  </pic:spPr>
                </pic:pic>
              </a:graphicData>
            </a:graphic>
          </wp:anchor>
        </w:drawing>
      </w:r>
    </w:p>
    <w:p w:rsidR="00583520" w:rsidRDefault="00583520" w:rsidP="00BF310B">
      <w:pPr>
        <w:rPr>
          <w:rFonts w:cs="Arial"/>
          <w:b/>
        </w:rPr>
      </w:pPr>
    </w:p>
    <w:p w:rsidR="00760AC6" w:rsidRDefault="00760AC6" w:rsidP="00B65D29">
      <w:pPr>
        <w:jc w:val="right"/>
        <w:rPr>
          <w:rFonts w:cs="Arial"/>
          <w:b/>
        </w:rPr>
      </w:pPr>
    </w:p>
    <w:p w:rsidR="0015284B" w:rsidRDefault="0015284B" w:rsidP="00BF310B">
      <w:pPr>
        <w:rPr>
          <w:rFonts w:cs="Arial"/>
          <w:b/>
        </w:rPr>
      </w:pPr>
    </w:p>
    <w:p w:rsidR="0061745C" w:rsidRDefault="0061745C" w:rsidP="00BF310B">
      <w:pPr>
        <w:rPr>
          <w:rFonts w:cs="Arial"/>
          <w:b/>
        </w:rPr>
      </w:pPr>
    </w:p>
    <w:p w:rsidR="0061745C" w:rsidRDefault="0061745C" w:rsidP="00BF310B">
      <w:pPr>
        <w:rPr>
          <w:rFonts w:cs="Arial"/>
          <w:b/>
        </w:rPr>
      </w:pPr>
    </w:p>
    <w:p w:rsidR="0015284B" w:rsidRDefault="0015284B" w:rsidP="00BF310B">
      <w:pPr>
        <w:rPr>
          <w:rFonts w:cs="Arial"/>
          <w:b/>
        </w:rPr>
      </w:pPr>
    </w:p>
    <w:p w:rsidR="00ED50AF" w:rsidRDefault="00ED50AF" w:rsidP="00BF310B">
      <w:pPr>
        <w:rPr>
          <w:rFonts w:cs="Arial"/>
          <w:b/>
        </w:rPr>
      </w:pPr>
    </w:p>
    <w:p w:rsidR="00ED50AF" w:rsidRDefault="00ED50AF" w:rsidP="00BF310B">
      <w:pPr>
        <w:rPr>
          <w:rFonts w:cs="Arial"/>
          <w:b/>
        </w:rPr>
      </w:pPr>
    </w:p>
    <w:p w:rsidR="0015284B" w:rsidRDefault="0015284B" w:rsidP="00BF310B">
      <w:pPr>
        <w:rPr>
          <w:rFonts w:cs="Arial"/>
          <w:b/>
        </w:rPr>
      </w:pPr>
    </w:p>
    <w:p w:rsidR="0015284B" w:rsidRDefault="0015284B" w:rsidP="00BF310B">
      <w:pPr>
        <w:rPr>
          <w:rFonts w:cs="Arial"/>
          <w:b/>
        </w:rPr>
      </w:pPr>
    </w:p>
    <w:p w:rsidR="0015284B" w:rsidRPr="006274B4" w:rsidRDefault="0015284B" w:rsidP="0015284B">
      <w:pPr>
        <w:jc w:val="center"/>
        <w:rPr>
          <w:rFonts w:cs="Arial"/>
          <w:b/>
          <w:sz w:val="56"/>
          <w:szCs w:val="56"/>
        </w:rPr>
      </w:pPr>
      <w:r w:rsidRPr="006274B4">
        <w:rPr>
          <w:rFonts w:cs="Arial"/>
          <w:b/>
          <w:sz w:val="56"/>
          <w:szCs w:val="56"/>
        </w:rPr>
        <w:t xml:space="preserve">Patient </w:t>
      </w:r>
      <w:r w:rsidR="00043E68" w:rsidRPr="006274B4">
        <w:rPr>
          <w:rFonts w:cs="Arial"/>
          <w:b/>
          <w:sz w:val="56"/>
          <w:szCs w:val="56"/>
        </w:rPr>
        <w:t xml:space="preserve">and Public </w:t>
      </w:r>
      <w:r w:rsidRPr="006274B4">
        <w:rPr>
          <w:rFonts w:cs="Arial"/>
          <w:b/>
          <w:sz w:val="56"/>
          <w:szCs w:val="56"/>
        </w:rPr>
        <w:t>E</w:t>
      </w:r>
      <w:r w:rsidR="00043E68" w:rsidRPr="006274B4">
        <w:rPr>
          <w:rFonts w:cs="Arial"/>
          <w:b/>
          <w:sz w:val="56"/>
          <w:szCs w:val="56"/>
        </w:rPr>
        <w:t>ngagement</w:t>
      </w:r>
      <w:r w:rsidRPr="006274B4">
        <w:rPr>
          <w:rFonts w:cs="Arial"/>
          <w:b/>
          <w:sz w:val="56"/>
          <w:szCs w:val="56"/>
        </w:rPr>
        <w:t xml:space="preserve"> Strategy</w:t>
      </w:r>
    </w:p>
    <w:p w:rsidR="0015284B" w:rsidRPr="006274B4" w:rsidRDefault="0015284B" w:rsidP="0015284B">
      <w:pPr>
        <w:jc w:val="center"/>
        <w:rPr>
          <w:rFonts w:cs="Arial"/>
          <w:b/>
          <w:sz w:val="56"/>
          <w:szCs w:val="56"/>
        </w:rPr>
      </w:pPr>
      <w:r w:rsidRPr="006274B4">
        <w:rPr>
          <w:rFonts w:cs="Arial"/>
          <w:b/>
          <w:sz w:val="56"/>
          <w:szCs w:val="56"/>
        </w:rPr>
        <w:t>201</w:t>
      </w:r>
      <w:r w:rsidR="00872B88">
        <w:rPr>
          <w:rFonts w:cs="Arial"/>
          <w:b/>
          <w:sz w:val="56"/>
          <w:szCs w:val="56"/>
        </w:rPr>
        <w:t>9</w:t>
      </w:r>
      <w:r w:rsidRPr="006274B4">
        <w:rPr>
          <w:rFonts w:cs="Arial"/>
          <w:b/>
          <w:sz w:val="56"/>
          <w:szCs w:val="56"/>
        </w:rPr>
        <w:t xml:space="preserve"> - 20</w:t>
      </w:r>
      <w:r w:rsidR="00663492" w:rsidRPr="006274B4">
        <w:rPr>
          <w:rFonts w:cs="Arial"/>
          <w:b/>
          <w:sz w:val="56"/>
          <w:szCs w:val="56"/>
        </w:rPr>
        <w:t>2</w:t>
      </w:r>
      <w:r w:rsidR="004E3DE5">
        <w:rPr>
          <w:rFonts w:cs="Arial"/>
          <w:b/>
          <w:sz w:val="56"/>
          <w:szCs w:val="56"/>
        </w:rPr>
        <w:t>2</w:t>
      </w:r>
    </w:p>
    <w:p w:rsidR="00583520" w:rsidRDefault="00583520"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61745C" w:rsidRDefault="0061745C" w:rsidP="00BF310B">
      <w:pPr>
        <w:rPr>
          <w:rFonts w:cs="Arial"/>
          <w:b/>
        </w:rPr>
      </w:pPr>
    </w:p>
    <w:p w:rsidR="00ED50AF" w:rsidRDefault="00ED50AF" w:rsidP="00BF310B">
      <w:pPr>
        <w:rPr>
          <w:rFonts w:cs="Arial"/>
          <w:b/>
        </w:rPr>
      </w:pPr>
    </w:p>
    <w:p w:rsidR="0061745C" w:rsidRDefault="0061745C" w:rsidP="00BF310B">
      <w:pPr>
        <w:rPr>
          <w:rFonts w:cs="Arial"/>
          <w:b/>
        </w:rPr>
      </w:pPr>
    </w:p>
    <w:p w:rsidR="0061745C" w:rsidRDefault="0061745C" w:rsidP="00BF310B">
      <w:pPr>
        <w:rPr>
          <w:rFonts w:cs="Arial"/>
          <w:b/>
        </w:rPr>
      </w:pPr>
    </w:p>
    <w:p w:rsidR="006274B4" w:rsidRDefault="006274B4" w:rsidP="00BF310B">
      <w:pPr>
        <w:rPr>
          <w:rFonts w:cs="Arial"/>
          <w:b/>
        </w:rPr>
      </w:pPr>
    </w:p>
    <w:p w:rsidR="006274B4" w:rsidRDefault="006274B4" w:rsidP="00BF310B">
      <w:pPr>
        <w:rPr>
          <w:rFonts w:cs="Arial"/>
          <w:b/>
        </w:rPr>
      </w:pPr>
    </w:p>
    <w:p w:rsidR="006274B4" w:rsidRDefault="006274B4" w:rsidP="00BF310B">
      <w:pPr>
        <w:rPr>
          <w:rFonts w:cs="Arial"/>
          <w:b/>
        </w:rPr>
      </w:pPr>
    </w:p>
    <w:p w:rsidR="003E480F" w:rsidRDefault="003E480F">
      <w:pPr>
        <w:spacing w:before="0" w:after="0"/>
        <w:rPr>
          <w:rFonts w:cs="Arial"/>
          <w:b/>
          <w:szCs w:val="22"/>
        </w:rPr>
      </w:pPr>
      <w:r>
        <w:rPr>
          <w:rFonts w:cs="Arial"/>
          <w:b/>
          <w:szCs w:val="22"/>
        </w:rPr>
        <w:br w:type="page"/>
      </w:r>
    </w:p>
    <w:p w:rsidR="008E108F" w:rsidRPr="00B32545" w:rsidRDefault="00BF310B" w:rsidP="00BF310B">
      <w:pPr>
        <w:rPr>
          <w:rStyle w:val="Strong"/>
        </w:rPr>
      </w:pPr>
      <w:r w:rsidRPr="00B32545">
        <w:rPr>
          <w:rStyle w:val="Strong"/>
        </w:rPr>
        <w:lastRenderedPageBreak/>
        <w:t>Our Vision</w:t>
      </w:r>
      <w:r w:rsidR="008E108F" w:rsidRPr="00B32545">
        <w:rPr>
          <w:rStyle w:val="Strong"/>
        </w:rPr>
        <w:t>s and Values</w:t>
      </w:r>
    </w:p>
    <w:p w:rsidR="008E108F" w:rsidRPr="00AF7CC0" w:rsidRDefault="008E108F" w:rsidP="00BF310B">
      <w:pPr>
        <w:rPr>
          <w:rFonts w:cs="Arial"/>
          <w:b/>
          <w:szCs w:val="22"/>
        </w:rPr>
      </w:pPr>
    </w:p>
    <w:p w:rsidR="008E108F" w:rsidRPr="00AF7CC0" w:rsidRDefault="008E108F" w:rsidP="00AF7CC0">
      <w:pPr>
        <w:jc w:val="center"/>
        <w:rPr>
          <w:rFonts w:cs="Arial"/>
          <w:b/>
          <w:szCs w:val="22"/>
        </w:rPr>
      </w:pPr>
      <w:r w:rsidRPr="00AF7CC0">
        <w:rPr>
          <w:rFonts w:cs="Arial"/>
          <w:b/>
          <w:noProof/>
          <w:szCs w:val="22"/>
        </w:rPr>
        <w:drawing>
          <wp:inline distT="0" distB="0" distL="0" distR="0" wp14:anchorId="164DD10B" wp14:editId="42594C64">
            <wp:extent cx="5657850" cy="8001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y2017TrustColou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7185" cy="8000153"/>
                    </a:xfrm>
                    <a:prstGeom prst="rect">
                      <a:avLst/>
                    </a:prstGeom>
                  </pic:spPr>
                </pic:pic>
              </a:graphicData>
            </a:graphic>
          </wp:inline>
        </w:drawing>
      </w:r>
    </w:p>
    <w:p w:rsidR="00BF310B" w:rsidRPr="00AF7CC0" w:rsidRDefault="00BF310B" w:rsidP="00BF310B">
      <w:pPr>
        <w:rPr>
          <w:rFonts w:cs="Arial"/>
          <w:szCs w:val="22"/>
        </w:rPr>
      </w:pPr>
    </w:p>
    <w:p w:rsidR="00245487" w:rsidRDefault="00245487" w:rsidP="00872B88">
      <w:pPr>
        <w:rPr>
          <w:rStyle w:val="Strong"/>
        </w:rPr>
      </w:pPr>
    </w:p>
    <w:p w:rsidR="00F46A41" w:rsidRPr="00872B88" w:rsidRDefault="00F46A41" w:rsidP="00872B88">
      <w:pPr>
        <w:rPr>
          <w:rStyle w:val="Strong"/>
        </w:rPr>
      </w:pPr>
      <w:r w:rsidRPr="00872B88">
        <w:rPr>
          <w:rStyle w:val="Strong"/>
        </w:rPr>
        <w:lastRenderedPageBreak/>
        <w:t>Introduction</w:t>
      </w:r>
    </w:p>
    <w:p w:rsidR="008E502F" w:rsidRPr="008E502F" w:rsidRDefault="008E502F" w:rsidP="008E502F">
      <w:pPr>
        <w:pStyle w:val="Style1"/>
        <w:spacing w:before="120" w:after="120"/>
      </w:pPr>
      <w:r w:rsidRPr="008E502F">
        <w:t xml:space="preserve">Patient experience has been identified as a </w:t>
      </w:r>
      <w:r w:rsidR="00872B88">
        <w:t>key</w:t>
      </w:r>
      <w:r w:rsidRPr="008E502F">
        <w:t xml:space="preserve"> element of patient care</w:t>
      </w:r>
      <w:r w:rsidR="00872B88">
        <w:t xml:space="preserve"> across the NHS</w:t>
      </w:r>
      <w:r w:rsidR="00EF422C">
        <w:t xml:space="preserve">. It </w:t>
      </w:r>
      <w:r w:rsidRPr="008E502F">
        <w:t>enab</w:t>
      </w:r>
      <w:r w:rsidR="00EF422C">
        <w:t>les</w:t>
      </w:r>
      <w:r w:rsidRPr="008E502F">
        <w:t xml:space="preserve"> those who use our services to direct us through feedback, involvement and engagement to provid</w:t>
      </w:r>
      <w:r w:rsidR="00872B88">
        <w:t xml:space="preserve">e </w:t>
      </w:r>
      <w:r w:rsidRPr="008E502F">
        <w:t xml:space="preserve">care that is not only clinically outstanding but provides a holistic approach to </w:t>
      </w:r>
      <w:r w:rsidR="003E480F">
        <w:t xml:space="preserve">our </w:t>
      </w:r>
      <w:r w:rsidR="00474A23">
        <w:t>patients</w:t>
      </w:r>
      <w:r w:rsidR="00EF422C">
        <w:t>’</w:t>
      </w:r>
      <w:r w:rsidRPr="008E502F">
        <w:t xml:space="preserve"> wellbeing whilst they are in our care. </w:t>
      </w:r>
    </w:p>
    <w:p w:rsidR="008E502F" w:rsidRPr="008E502F" w:rsidRDefault="008E502F" w:rsidP="00872B88">
      <w:r w:rsidRPr="008E502F">
        <w:t xml:space="preserve">Patient’s experience of care, clinical effectiveness and patient safety together make the three key components of quality in the NHS. Good care is linked to </w:t>
      </w:r>
      <w:r w:rsidR="000536BA">
        <w:t xml:space="preserve">a </w:t>
      </w:r>
      <w:r w:rsidRPr="008E502F">
        <w:t xml:space="preserve">positive </w:t>
      </w:r>
      <w:r w:rsidR="000536BA">
        <w:t xml:space="preserve">experience </w:t>
      </w:r>
      <w:r w:rsidRPr="008E502F">
        <w:t>and is also associated with high levels of staff satisfaction</w:t>
      </w:r>
    </w:p>
    <w:p w:rsidR="0030013D" w:rsidRPr="0030013D" w:rsidRDefault="0081369E" w:rsidP="00872B88">
      <w:pPr>
        <w:rPr>
          <w:rFonts w:cs="Arial"/>
          <w:color w:val="000000"/>
          <w:szCs w:val="22"/>
        </w:rPr>
      </w:pPr>
      <w:r w:rsidRPr="00872B88">
        <w:t>An outstanding experience for every patient is our main priority</w:t>
      </w:r>
      <w:r>
        <w:t xml:space="preserve">. Patients are at the heart of our services and we will </w:t>
      </w:r>
      <w:r w:rsidR="00872B88">
        <w:t xml:space="preserve">build on existing good practice to </w:t>
      </w:r>
      <w:r>
        <w:t xml:space="preserve">continue to </w:t>
      </w:r>
      <w:r w:rsidR="00872B88">
        <w:t>design our serv</w:t>
      </w:r>
      <w:r w:rsidR="00474A23">
        <w:t>ices around our patients’ needs</w:t>
      </w:r>
      <w:r w:rsidR="00872B88">
        <w:t xml:space="preserve">.   </w:t>
      </w:r>
    </w:p>
    <w:p w:rsidR="00204829" w:rsidRPr="00447312" w:rsidRDefault="00204829" w:rsidP="00447312">
      <w:pPr>
        <w:pStyle w:val="Style2"/>
        <w:rPr>
          <w:rStyle w:val="Strong"/>
          <w:b/>
        </w:rPr>
      </w:pPr>
      <w:r w:rsidRPr="00447312">
        <w:rPr>
          <w:rStyle w:val="Strong"/>
          <w:b/>
        </w:rPr>
        <w:t>Review of the previous strategy</w:t>
      </w:r>
    </w:p>
    <w:p w:rsidR="00217798" w:rsidRDefault="008E502F" w:rsidP="00245487">
      <w:r w:rsidRPr="00447312">
        <w:t xml:space="preserve">The </w:t>
      </w:r>
      <w:r w:rsidR="00A56F24">
        <w:t xml:space="preserve">Trust’s </w:t>
      </w:r>
      <w:r w:rsidRPr="00447312">
        <w:t xml:space="preserve">2016-2019 </w:t>
      </w:r>
      <w:r w:rsidR="003E480F" w:rsidRPr="00447312">
        <w:t xml:space="preserve">engagement </w:t>
      </w:r>
      <w:r w:rsidRPr="00447312">
        <w:t>strategy set out 9 priorities to make public and patient</w:t>
      </w:r>
      <w:r>
        <w:t xml:space="preserve"> engagement a core part of our organisational culture.  </w:t>
      </w:r>
      <w:r w:rsidR="00A56F24">
        <w:rPr>
          <w:rStyle w:val="Style1Char"/>
        </w:rPr>
        <w:t xml:space="preserve">The aim of the strategy was to </w:t>
      </w:r>
      <w:r w:rsidR="00217798" w:rsidRPr="00AF7CC0">
        <w:t xml:space="preserve">build a thorough and accurate understanding of patient experience, through gathering quantitative and qualitative information from patients, their families and carers and use this as a tool for real quality improvement to achieve our priorities. </w:t>
      </w:r>
    </w:p>
    <w:p w:rsidR="00245487" w:rsidRDefault="00245487" w:rsidP="00245487">
      <w:r>
        <w:t>See Appendix 3 for a glossary of all terms used.</w:t>
      </w:r>
    </w:p>
    <w:p w:rsidR="00447312" w:rsidRPr="00447312" w:rsidRDefault="00447312" w:rsidP="00447312">
      <w:pPr>
        <w:rPr>
          <w:rStyle w:val="Strong"/>
        </w:rPr>
      </w:pPr>
      <w:r w:rsidRPr="00447312">
        <w:rPr>
          <w:rStyle w:val="Strong"/>
        </w:rPr>
        <w:t>2016/2019 priorities</w:t>
      </w:r>
    </w:p>
    <w:p w:rsidR="004E3DE5" w:rsidRDefault="004E3DE5" w:rsidP="00447312">
      <w:pPr>
        <w:pStyle w:val="Style1"/>
        <w:numPr>
          <w:ilvl w:val="0"/>
          <w:numId w:val="32"/>
        </w:numPr>
      </w:pPr>
      <w:r>
        <w:t>Strengthen the PALS Public and Patient Involvement (PPI) role</w:t>
      </w:r>
    </w:p>
    <w:p w:rsidR="004E3DE5" w:rsidRDefault="004E3DE5" w:rsidP="00447312">
      <w:pPr>
        <w:pStyle w:val="Style1"/>
        <w:numPr>
          <w:ilvl w:val="0"/>
          <w:numId w:val="32"/>
        </w:numPr>
      </w:pPr>
      <w:r>
        <w:t>Directorate Management Teams to consult with the PALS PPI lead about involving patients in planned service change</w:t>
      </w:r>
    </w:p>
    <w:p w:rsidR="004E3DE5" w:rsidRDefault="004E3DE5" w:rsidP="00447312">
      <w:pPr>
        <w:pStyle w:val="Style1"/>
        <w:numPr>
          <w:ilvl w:val="0"/>
          <w:numId w:val="32"/>
        </w:numPr>
      </w:pPr>
      <w:r>
        <w:t>Develop the ward-based patient experience action plans</w:t>
      </w:r>
    </w:p>
    <w:p w:rsidR="004E3DE5" w:rsidRDefault="00447312" w:rsidP="00447312">
      <w:pPr>
        <w:pStyle w:val="Style1"/>
        <w:numPr>
          <w:ilvl w:val="0"/>
          <w:numId w:val="32"/>
        </w:numPr>
      </w:pPr>
      <w:r>
        <w:t>Develop ward/departmental patient experience ‘You said – We did’ boards</w:t>
      </w:r>
    </w:p>
    <w:p w:rsidR="00447312" w:rsidRDefault="00447312" w:rsidP="00447312">
      <w:pPr>
        <w:pStyle w:val="Style1"/>
        <w:numPr>
          <w:ilvl w:val="0"/>
          <w:numId w:val="32"/>
        </w:numPr>
      </w:pPr>
      <w:r>
        <w:t xml:space="preserve">Report PPI projects via the </w:t>
      </w:r>
      <w:r w:rsidR="00716A64">
        <w:t>patient experience</w:t>
      </w:r>
      <w:r>
        <w:t xml:space="preserve"> quarterly report and annual report to the Clinical Governance Committee and Trust Board</w:t>
      </w:r>
    </w:p>
    <w:p w:rsidR="00447312" w:rsidRDefault="00447312" w:rsidP="00447312">
      <w:pPr>
        <w:pStyle w:val="Style1"/>
        <w:numPr>
          <w:ilvl w:val="0"/>
          <w:numId w:val="32"/>
        </w:numPr>
      </w:pPr>
      <w:r>
        <w:t>Strengthen concerns and complaints responsiveness by working with the directorate management teams</w:t>
      </w:r>
    </w:p>
    <w:p w:rsidR="00447312" w:rsidRDefault="00447312" w:rsidP="00447312">
      <w:pPr>
        <w:pStyle w:val="Style1"/>
        <w:numPr>
          <w:ilvl w:val="0"/>
          <w:numId w:val="32"/>
        </w:numPr>
      </w:pPr>
      <w:r>
        <w:t>Engage in the national patient survey programme</w:t>
      </w:r>
    </w:p>
    <w:p w:rsidR="00447312" w:rsidRDefault="00447312" w:rsidP="00447312">
      <w:pPr>
        <w:pStyle w:val="Style1"/>
        <w:numPr>
          <w:ilvl w:val="0"/>
          <w:numId w:val="32"/>
        </w:numPr>
      </w:pPr>
      <w:r>
        <w:t xml:space="preserve">Engage with partners, such as </w:t>
      </w:r>
      <w:proofErr w:type="spellStart"/>
      <w:r>
        <w:t>Healthwatch</w:t>
      </w:r>
      <w:proofErr w:type="spellEnd"/>
      <w:r>
        <w:t xml:space="preserve"> Wiltshire, on patient experience initiatives</w:t>
      </w:r>
    </w:p>
    <w:p w:rsidR="00447312" w:rsidRDefault="00447312" w:rsidP="00447312">
      <w:pPr>
        <w:pStyle w:val="Style1"/>
        <w:numPr>
          <w:ilvl w:val="0"/>
          <w:numId w:val="32"/>
        </w:numPr>
      </w:pPr>
      <w:r>
        <w:t>Share the outcomes of projects with staff on the Intranet and develop a resource on the hospital website for the public.</w:t>
      </w:r>
    </w:p>
    <w:p w:rsidR="00204829" w:rsidRPr="00204829" w:rsidRDefault="00204829" w:rsidP="00204829">
      <w:pPr>
        <w:pStyle w:val="Style2"/>
      </w:pPr>
      <w:r w:rsidRPr="00204829">
        <w:t>Key successes to date</w:t>
      </w:r>
    </w:p>
    <w:p w:rsidR="00204829" w:rsidRDefault="00E00669" w:rsidP="00204829">
      <w:pPr>
        <w:pStyle w:val="Style1"/>
        <w:numPr>
          <w:ilvl w:val="0"/>
          <w:numId w:val="22"/>
        </w:numPr>
      </w:pPr>
      <w:r>
        <w:t xml:space="preserve">In 2017/18 - 2,800 patients were surveyed via the inpatient surveys, 11,440 </w:t>
      </w:r>
      <w:r w:rsidR="00204829">
        <w:t xml:space="preserve">Friends and Family Test (FFT) </w:t>
      </w:r>
      <w:r>
        <w:t>cards were returned and 1,475 patients were surveyed via real time feedback</w:t>
      </w:r>
      <w:r w:rsidR="00204829">
        <w:t xml:space="preserve">, enabling our </w:t>
      </w:r>
      <w:r w:rsidR="006D771D">
        <w:t>staff</w:t>
      </w:r>
      <w:r w:rsidR="00204829">
        <w:t xml:space="preserve"> to see </w:t>
      </w:r>
      <w:r>
        <w:t>and action the</w:t>
      </w:r>
      <w:r w:rsidR="00204829">
        <w:t xml:space="preserve"> feedback </w:t>
      </w:r>
    </w:p>
    <w:p w:rsidR="0016691E" w:rsidRDefault="0016691E" w:rsidP="00204829">
      <w:pPr>
        <w:pStyle w:val="Style1"/>
        <w:numPr>
          <w:ilvl w:val="0"/>
          <w:numId w:val="22"/>
        </w:numPr>
      </w:pPr>
      <w:r>
        <w:t xml:space="preserve">In 2017/18 - </w:t>
      </w:r>
      <w:r w:rsidR="00450194">
        <w:t>23</w:t>
      </w:r>
      <w:r>
        <w:t xml:space="preserve"> PPI trust-wide initiatives were reviewed and approved by the PPIG group (appendix 2) and were completed </w:t>
      </w:r>
    </w:p>
    <w:p w:rsidR="00204829" w:rsidRDefault="00204829" w:rsidP="00204829">
      <w:pPr>
        <w:pStyle w:val="Style1"/>
        <w:numPr>
          <w:ilvl w:val="0"/>
          <w:numId w:val="22"/>
        </w:numPr>
      </w:pPr>
      <w:r>
        <w:t>Patient and staff stories are heard at bimonthly Trust Board meetings</w:t>
      </w:r>
      <w:r w:rsidR="00474A23">
        <w:t>.  Our method of doing this has been shaped by feedback from patients who told their stories at earlier Clinical Governance Meetings.</w:t>
      </w:r>
    </w:p>
    <w:p w:rsidR="00204829" w:rsidRDefault="00204829" w:rsidP="00204829">
      <w:pPr>
        <w:pStyle w:val="Style1"/>
        <w:numPr>
          <w:ilvl w:val="0"/>
          <w:numId w:val="22"/>
        </w:numPr>
      </w:pPr>
      <w:r>
        <w:t xml:space="preserve">Patient Magnets - symbol magnets introduced to wards to enable easy identification of additional support needs for individual patients </w:t>
      </w:r>
    </w:p>
    <w:p w:rsidR="006D771D" w:rsidRDefault="00BA0117" w:rsidP="00204829">
      <w:pPr>
        <w:pStyle w:val="Style1"/>
        <w:numPr>
          <w:ilvl w:val="0"/>
          <w:numId w:val="22"/>
        </w:numPr>
      </w:pPr>
      <w:proofErr w:type="spellStart"/>
      <w:r>
        <w:t>ArtCare’s</w:t>
      </w:r>
      <w:proofErr w:type="spellEnd"/>
      <w:r>
        <w:t xml:space="preserve"> engagement work with the local community and patients on a wide range of improvement work</w:t>
      </w:r>
      <w:r>
        <w:rPr>
          <w:rStyle w:val="EndnoteReference"/>
        </w:rPr>
        <w:endnoteReference w:id="1"/>
      </w:r>
    </w:p>
    <w:p w:rsidR="00244983" w:rsidRDefault="00244983" w:rsidP="00204829">
      <w:pPr>
        <w:pStyle w:val="Style1"/>
        <w:numPr>
          <w:ilvl w:val="0"/>
          <w:numId w:val="22"/>
        </w:numPr>
      </w:pPr>
      <w:r>
        <w:t>Certification against NHS England’s Information Standard</w:t>
      </w:r>
      <w:r>
        <w:rPr>
          <w:rStyle w:val="EndnoteReference"/>
        </w:rPr>
        <w:endnoteReference w:id="2"/>
      </w:r>
    </w:p>
    <w:p w:rsidR="00BA0117" w:rsidRDefault="00BA0117" w:rsidP="00204829">
      <w:pPr>
        <w:pStyle w:val="Style1"/>
        <w:numPr>
          <w:ilvl w:val="0"/>
          <w:numId w:val="22"/>
        </w:numPr>
      </w:pPr>
      <w:r>
        <w:t>Accessible communication policy ratified</w:t>
      </w:r>
    </w:p>
    <w:p w:rsidR="00447312" w:rsidRDefault="00204829" w:rsidP="00204829">
      <w:pPr>
        <w:pStyle w:val="Style1"/>
        <w:numPr>
          <w:ilvl w:val="0"/>
          <w:numId w:val="22"/>
        </w:numPr>
      </w:pPr>
      <w:r>
        <w:t xml:space="preserve">Information boards </w:t>
      </w:r>
      <w:r w:rsidR="00447312">
        <w:t xml:space="preserve">outside all inpatient areas </w:t>
      </w:r>
      <w:r>
        <w:t>provid</w:t>
      </w:r>
      <w:r w:rsidR="00BB138F">
        <w:t>e</w:t>
      </w:r>
      <w:r>
        <w:t xml:space="preserve"> ward information </w:t>
      </w:r>
      <w:r w:rsidR="00BB138F">
        <w:t>and contact details</w:t>
      </w:r>
    </w:p>
    <w:p w:rsidR="00204829" w:rsidRDefault="00447312" w:rsidP="00447312">
      <w:pPr>
        <w:pStyle w:val="Style1"/>
        <w:numPr>
          <w:ilvl w:val="0"/>
          <w:numId w:val="22"/>
        </w:numPr>
      </w:pPr>
      <w:r>
        <w:lastRenderedPageBreak/>
        <w:t xml:space="preserve">Customer Care Boards </w:t>
      </w:r>
      <w:r w:rsidR="00BB138F">
        <w:t xml:space="preserve">have </w:t>
      </w:r>
      <w:r w:rsidR="00B32545">
        <w:t xml:space="preserve">been </w:t>
      </w:r>
      <w:r>
        <w:t xml:space="preserve">sited outside all inpatient areas with details of </w:t>
      </w:r>
      <w:r w:rsidR="00204829">
        <w:t xml:space="preserve">how to </w:t>
      </w:r>
      <w:r>
        <w:t>give feedback.</w:t>
      </w:r>
      <w:r w:rsidR="00B32545">
        <w:t xml:space="preserve">  Space is available for feedback on actions taken.</w:t>
      </w:r>
    </w:p>
    <w:p w:rsidR="00F732E5" w:rsidRPr="00AF7CC0" w:rsidRDefault="00F732E5" w:rsidP="00447312">
      <w:pPr>
        <w:pStyle w:val="Style1"/>
        <w:numPr>
          <w:ilvl w:val="0"/>
          <w:numId w:val="22"/>
        </w:numPr>
      </w:pPr>
      <w:r>
        <w:t xml:space="preserve">Ward ‘Hot Boards’ have been sited outside all inpatient ward areas.  </w:t>
      </w:r>
    </w:p>
    <w:p w:rsidR="00BF310B" w:rsidRPr="00AF7CC0" w:rsidRDefault="00BF310B" w:rsidP="00204829">
      <w:pPr>
        <w:pStyle w:val="Style1"/>
      </w:pPr>
    </w:p>
    <w:p w:rsidR="00A01344" w:rsidRPr="00A01344" w:rsidRDefault="00A01344" w:rsidP="00A01344">
      <w:pPr>
        <w:rPr>
          <w:b/>
        </w:rPr>
      </w:pPr>
      <w:r w:rsidRPr="00A01344">
        <w:rPr>
          <w:b/>
        </w:rPr>
        <w:t>Patient and Public Engagement Strategy 2019 - 2022</w:t>
      </w:r>
    </w:p>
    <w:p w:rsidR="00447312" w:rsidRDefault="00EF422C" w:rsidP="00EF422C">
      <w:pPr>
        <w:rPr>
          <w:rFonts w:cs="Arial"/>
          <w:b/>
          <w:szCs w:val="22"/>
        </w:rPr>
      </w:pPr>
      <w:r>
        <w:t>This new three-year is a refresh of the previous strategy - it does not start from a ‘blank sheet’. It reflects the first of our Trust values ‘patient-centred and safe’ and a commitment to continuously strengthen patient and public engagement across the organisation in order to meet our overarching aim of ‘an outstanding experience for every patient’.</w:t>
      </w:r>
    </w:p>
    <w:p w:rsidR="003E480F" w:rsidRDefault="006D1518" w:rsidP="00BF310B">
      <w:pPr>
        <w:rPr>
          <w:rFonts w:cs="Arial"/>
          <w:b/>
          <w:szCs w:val="22"/>
        </w:rPr>
      </w:pPr>
      <w:r>
        <w:rPr>
          <w:rFonts w:cs="Arial"/>
          <w:b/>
          <w:szCs w:val="22"/>
        </w:rPr>
        <w:t>Our patient and public experience and involvement priorities</w:t>
      </w:r>
      <w:r w:rsidR="00A56F24">
        <w:rPr>
          <w:rFonts w:cs="Arial"/>
          <w:b/>
          <w:szCs w:val="22"/>
        </w:rPr>
        <w:t xml:space="preserve"> 2019 - 2022</w:t>
      </w:r>
    </w:p>
    <w:p w:rsidR="00A01344" w:rsidRDefault="004E3DE5" w:rsidP="00BF310B">
      <w:pPr>
        <w:rPr>
          <w:rFonts w:cs="Arial"/>
          <w:szCs w:val="22"/>
        </w:rPr>
      </w:pPr>
      <w:r w:rsidRPr="004E3DE5">
        <w:rPr>
          <w:rFonts w:cs="Arial"/>
          <w:szCs w:val="22"/>
        </w:rPr>
        <w:t>These priorities were discusse</w:t>
      </w:r>
      <w:r w:rsidR="00A01344">
        <w:rPr>
          <w:rFonts w:cs="Arial"/>
          <w:szCs w:val="22"/>
        </w:rPr>
        <w:t xml:space="preserve">d and agreed with patients, </w:t>
      </w:r>
      <w:r w:rsidR="00245487">
        <w:rPr>
          <w:rFonts w:cs="Arial"/>
          <w:szCs w:val="22"/>
        </w:rPr>
        <w:t xml:space="preserve">the local </w:t>
      </w:r>
      <w:r w:rsidR="00A01344">
        <w:rPr>
          <w:rFonts w:cs="Arial"/>
          <w:szCs w:val="22"/>
        </w:rPr>
        <w:t>Health</w:t>
      </w:r>
      <w:r w:rsidR="00245487">
        <w:rPr>
          <w:rFonts w:cs="Arial"/>
          <w:szCs w:val="22"/>
        </w:rPr>
        <w:t xml:space="preserve"> </w:t>
      </w:r>
      <w:r w:rsidR="00A01344">
        <w:rPr>
          <w:rFonts w:cs="Arial"/>
          <w:szCs w:val="22"/>
        </w:rPr>
        <w:t>Watch</w:t>
      </w:r>
      <w:r w:rsidR="00C922A6">
        <w:rPr>
          <w:rFonts w:cs="Arial"/>
          <w:szCs w:val="22"/>
        </w:rPr>
        <w:t xml:space="preserve"> </w:t>
      </w:r>
      <w:r w:rsidR="00716A64">
        <w:rPr>
          <w:rFonts w:cs="Arial"/>
          <w:szCs w:val="22"/>
        </w:rPr>
        <w:t>Manager</w:t>
      </w:r>
      <w:r w:rsidR="00C922A6">
        <w:rPr>
          <w:rFonts w:cs="Arial"/>
          <w:szCs w:val="22"/>
        </w:rPr>
        <w:t xml:space="preserve"> and </w:t>
      </w:r>
      <w:r w:rsidR="00DE79A2">
        <w:rPr>
          <w:rFonts w:cs="Arial"/>
          <w:szCs w:val="22"/>
        </w:rPr>
        <w:t xml:space="preserve">Health Watch </w:t>
      </w:r>
      <w:r w:rsidR="00C922A6">
        <w:rPr>
          <w:rFonts w:cs="Arial"/>
          <w:szCs w:val="22"/>
        </w:rPr>
        <w:t>patient representatives</w:t>
      </w:r>
      <w:r w:rsidR="00A01344">
        <w:rPr>
          <w:rFonts w:cs="Arial"/>
          <w:szCs w:val="22"/>
        </w:rPr>
        <w:t xml:space="preserve"> and </w:t>
      </w:r>
      <w:r w:rsidR="00716A64">
        <w:rPr>
          <w:rFonts w:cs="Arial"/>
          <w:szCs w:val="22"/>
        </w:rPr>
        <w:t xml:space="preserve">an </w:t>
      </w:r>
      <w:r w:rsidR="00A01344">
        <w:rPr>
          <w:rFonts w:cs="Arial"/>
          <w:szCs w:val="22"/>
        </w:rPr>
        <w:t>NHS England Patient Engagement Fellow</w:t>
      </w:r>
      <w:r w:rsidR="00C922A6">
        <w:rPr>
          <w:rFonts w:cs="Arial"/>
          <w:szCs w:val="22"/>
        </w:rPr>
        <w:t>.</w:t>
      </w:r>
    </w:p>
    <w:p w:rsidR="004E3DE5" w:rsidRDefault="00DE79A2" w:rsidP="00BF310B">
      <w:pPr>
        <w:rPr>
          <w:rFonts w:cs="Arial"/>
          <w:szCs w:val="22"/>
        </w:rPr>
      </w:pPr>
      <w:r>
        <w:rPr>
          <w:rFonts w:cs="Arial"/>
          <w:szCs w:val="22"/>
        </w:rPr>
        <w:t>All consulted</w:t>
      </w:r>
      <w:r w:rsidR="00C55D02">
        <w:rPr>
          <w:rFonts w:cs="Arial"/>
          <w:szCs w:val="22"/>
        </w:rPr>
        <w:t xml:space="preserve"> were happy with the suggested priorities.  </w:t>
      </w:r>
      <w:r w:rsidR="00A01344">
        <w:rPr>
          <w:rFonts w:cs="Arial"/>
          <w:szCs w:val="22"/>
        </w:rPr>
        <w:t>Changes were made to simplify the language used and</w:t>
      </w:r>
      <w:r w:rsidR="00BE7BC2">
        <w:rPr>
          <w:rFonts w:cs="Arial"/>
          <w:szCs w:val="22"/>
        </w:rPr>
        <w:t>,</w:t>
      </w:r>
      <w:r w:rsidR="00A01344">
        <w:rPr>
          <w:rFonts w:cs="Arial"/>
          <w:szCs w:val="22"/>
        </w:rPr>
        <w:t xml:space="preserve"> </w:t>
      </w:r>
      <w:r w:rsidR="002C61C0">
        <w:rPr>
          <w:rFonts w:cs="Arial"/>
          <w:szCs w:val="22"/>
        </w:rPr>
        <w:t>at their suggestion</w:t>
      </w:r>
      <w:r w:rsidR="00BE7BC2">
        <w:rPr>
          <w:rFonts w:cs="Arial"/>
          <w:szCs w:val="22"/>
        </w:rPr>
        <w:t>,</w:t>
      </w:r>
      <w:r w:rsidR="002C61C0">
        <w:rPr>
          <w:rFonts w:cs="Arial"/>
          <w:szCs w:val="22"/>
        </w:rPr>
        <w:t xml:space="preserve"> a</w:t>
      </w:r>
      <w:r w:rsidR="00A01344">
        <w:rPr>
          <w:rFonts w:cs="Arial"/>
          <w:szCs w:val="22"/>
        </w:rPr>
        <w:t xml:space="preserve"> glossary of terms was added</w:t>
      </w:r>
      <w:r w:rsidR="00243DBD">
        <w:rPr>
          <w:rFonts w:cs="Arial"/>
          <w:szCs w:val="22"/>
        </w:rPr>
        <w:t xml:space="preserve">. Of note a suggestion was made to invite patients/carers to review patient and public involvement applications for a sense check and to ensure that the questions asked </w:t>
      </w:r>
      <w:r w:rsidR="00C55D02">
        <w:rPr>
          <w:rFonts w:cs="Arial"/>
          <w:szCs w:val="22"/>
        </w:rPr>
        <w:t>are</w:t>
      </w:r>
      <w:r w:rsidR="00243DBD">
        <w:rPr>
          <w:rFonts w:cs="Arial"/>
          <w:szCs w:val="22"/>
        </w:rPr>
        <w:t xml:space="preserve"> accessible.</w:t>
      </w:r>
    </w:p>
    <w:p w:rsidR="007675F0" w:rsidRPr="006D1518" w:rsidRDefault="007675F0" w:rsidP="006D1518">
      <w:pPr>
        <w:pStyle w:val="ListParagraph"/>
        <w:numPr>
          <w:ilvl w:val="0"/>
          <w:numId w:val="29"/>
        </w:numPr>
        <w:rPr>
          <w:rFonts w:cs="Arial"/>
          <w:b/>
          <w:szCs w:val="22"/>
        </w:rPr>
      </w:pPr>
      <w:r w:rsidRPr="006D1518">
        <w:rPr>
          <w:rFonts w:cs="Arial"/>
          <w:b/>
          <w:szCs w:val="22"/>
        </w:rPr>
        <w:t>Communication</w:t>
      </w:r>
    </w:p>
    <w:p w:rsidR="003E480F" w:rsidRPr="00A56F24" w:rsidRDefault="007675F0" w:rsidP="00BF310B">
      <w:pPr>
        <w:rPr>
          <w:rFonts w:cs="Arial"/>
          <w:b/>
          <w:color w:val="365F91" w:themeColor="accent1" w:themeShade="BF"/>
          <w:szCs w:val="22"/>
        </w:rPr>
      </w:pPr>
      <w:r w:rsidRPr="00A56F24">
        <w:rPr>
          <w:rFonts w:cs="Arial"/>
          <w:b/>
          <w:color w:val="365F91" w:themeColor="accent1" w:themeShade="BF"/>
          <w:szCs w:val="22"/>
        </w:rPr>
        <w:t xml:space="preserve">We want to build on the work that </w:t>
      </w:r>
      <w:r w:rsidR="006D1518" w:rsidRPr="00A56F24">
        <w:rPr>
          <w:rFonts w:cs="Arial"/>
          <w:b/>
          <w:color w:val="365F91" w:themeColor="accent1" w:themeShade="BF"/>
          <w:szCs w:val="22"/>
        </w:rPr>
        <w:t xml:space="preserve">has </w:t>
      </w:r>
      <w:r w:rsidRPr="00A56F24">
        <w:rPr>
          <w:rFonts w:cs="Arial"/>
          <w:b/>
          <w:color w:val="365F91" w:themeColor="accent1" w:themeShade="BF"/>
          <w:szCs w:val="22"/>
        </w:rPr>
        <w:t>already take</w:t>
      </w:r>
      <w:r w:rsidR="006D1518" w:rsidRPr="00A56F24">
        <w:rPr>
          <w:rFonts w:cs="Arial"/>
          <w:b/>
          <w:color w:val="365F91" w:themeColor="accent1" w:themeShade="BF"/>
          <w:szCs w:val="22"/>
        </w:rPr>
        <w:t>n</w:t>
      </w:r>
      <w:r w:rsidRPr="00A56F24">
        <w:rPr>
          <w:rFonts w:cs="Arial"/>
          <w:b/>
          <w:color w:val="365F91" w:themeColor="accent1" w:themeShade="BF"/>
          <w:szCs w:val="22"/>
        </w:rPr>
        <w:t xml:space="preserve"> place and improve the way we </w:t>
      </w:r>
      <w:r w:rsidR="008443BE">
        <w:rPr>
          <w:rFonts w:cs="Arial"/>
          <w:b/>
          <w:color w:val="365F91" w:themeColor="accent1" w:themeShade="BF"/>
          <w:szCs w:val="22"/>
        </w:rPr>
        <w:t xml:space="preserve">listen to and </w:t>
      </w:r>
      <w:r w:rsidRPr="00A56F24">
        <w:rPr>
          <w:rFonts w:cs="Arial"/>
          <w:b/>
          <w:color w:val="365F91" w:themeColor="accent1" w:themeShade="BF"/>
          <w:szCs w:val="22"/>
        </w:rPr>
        <w:t>communicate with our patients</w:t>
      </w:r>
      <w:r w:rsidR="006D1518" w:rsidRPr="00A56F24">
        <w:rPr>
          <w:rFonts w:cs="Arial"/>
          <w:b/>
          <w:color w:val="365F91" w:themeColor="accent1" w:themeShade="BF"/>
          <w:szCs w:val="22"/>
        </w:rPr>
        <w:t xml:space="preserve"> their families and </w:t>
      </w:r>
      <w:r w:rsidRPr="00A56F24">
        <w:rPr>
          <w:rFonts w:cs="Arial"/>
          <w:b/>
          <w:color w:val="365F91" w:themeColor="accent1" w:themeShade="BF"/>
          <w:szCs w:val="22"/>
        </w:rPr>
        <w:t xml:space="preserve">their carers </w:t>
      </w:r>
    </w:p>
    <w:p w:rsidR="006D1518" w:rsidRPr="006D1518" w:rsidRDefault="006D1518" w:rsidP="006D1518">
      <w:pPr>
        <w:rPr>
          <w:rFonts w:cs="Arial"/>
          <w:szCs w:val="22"/>
        </w:rPr>
      </w:pPr>
      <w:r w:rsidRPr="006D1518">
        <w:rPr>
          <w:rFonts w:cs="Arial"/>
          <w:szCs w:val="22"/>
        </w:rPr>
        <w:t>To do this we will:</w:t>
      </w:r>
    </w:p>
    <w:p w:rsidR="006D1518" w:rsidRPr="001573D3" w:rsidRDefault="006D1518" w:rsidP="001573D3">
      <w:pPr>
        <w:pStyle w:val="ListParagraph"/>
        <w:numPr>
          <w:ilvl w:val="0"/>
          <w:numId w:val="30"/>
        </w:numPr>
      </w:pPr>
      <w:r w:rsidRPr="001573D3">
        <w:t>Proactively capture the experiences of our patients</w:t>
      </w:r>
    </w:p>
    <w:p w:rsidR="001573D3" w:rsidRPr="001573D3" w:rsidRDefault="001573D3" w:rsidP="001573D3">
      <w:pPr>
        <w:pStyle w:val="ListParagraph"/>
        <w:numPr>
          <w:ilvl w:val="0"/>
          <w:numId w:val="30"/>
        </w:numPr>
      </w:pPr>
      <w:r>
        <w:t>Re</w:t>
      </w:r>
      <w:r w:rsidRPr="001573D3">
        <w:t xml:space="preserve">view experience (positive and negative) and learn from it to continuously improve our services and how people are involved </w:t>
      </w:r>
    </w:p>
    <w:p w:rsidR="006D1518" w:rsidRPr="001573D3" w:rsidRDefault="006D1518" w:rsidP="001573D3">
      <w:pPr>
        <w:pStyle w:val="ListParagraph"/>
        <w:numPr>
          <w:ilvl w:val="0"/>
          <w:numId w:val="30"/>
        </w:numPr>
      </w:pPr>
      <w:r w:rsidRPr="001573D3">
        <w:t>Encourage feedback via electronic means</w:t>
      </w:r>
    </w:p>
    <w:p w:rsidR="001573D3" w:rsidRPr="001573D3" w:rsidRDefault="001573D3" w:rsidP="001573D3">
      <w:pPr>
        <w:pStyle w:val="ListParagraph"/>
        <w:numPr>
          <w:ilvl w:val="0"/>
          <w:numId w:val="30"/>
        </w:numPr>
      </w:pPr>
      <w:r w:rsidRPr="001573D3">
        <w:t>Publicise where we have made changes as a result of patients’ feedback</w:t>
      </w:r>
    </w:p>
    <w:p w:rsidR="006D1518" w:rsidRDefault="001573D3" w:rsidP="001573D3">
      <w:pPr>
        <w:pStyle w:val="ListParagraph"/>
        <w:numPr>
          <w:ilvl w:val="0"/>
          <w:numId w:val="30"/>
        </w:numPr>
      </w:pPr>
      <w:r w:rsidRPr="001573D3">
        <w:t>Help staff to translate feedback into local actions</w:t>
      </w:r>
    </w:p>
    <w:p w:rsidR="00B154D2" w:rsidRDefault="00B154D2" w:rsidP="001573D3">
      <w:pPr>
        <w:pStyle w:val="ListParagraph"/>
        <w:numPr>
          <w:ilvl w:val="0"/>
          <w:numId w:val="30"/>
        </w:numPr>
      </w:pPr>
      <w:r>
        <w:t>Improve how patient information is made available electronically</w:t>
      </w:r>
    </w:p>
    <w:p w:rsidR="00B154D2" w:rsidRPr="00B154D2" w:rsidRDefault="00B154D2" w:rsidP="001573D3">
      <w:pPr>
        <w:pStyle w:val="ListParagraph"/>
        <w:numPr>
          <w:ilvl w:val="0"/>
          <w:numId w:val="30"/>
        </w:numPr>
      </w:pPr>
      <w:r>
        <w:rPr>
          <w:rFonts w:cs="Arial"/>
          <w:szCs w:val="22"/>
        </w:rPr>
        <w:t>C</w:t>
      </w:r>
      <w:r w:rsidRPr="00AF7CC0">
        <w:rPr>
          <w:rFonts w:cs="Arial"/>
          <w:szCs w:val="22"/>
        </w:rPr>
        <w:t>ontinue to engage with the national patient survey programme</w:t>
      </w:r>
      <w:r>
        <w:rPr>
          <w:rFonts w:cs="Arial"/>
          <w:szCs w:val="22"/>
        </w:rPr>
        <w:t xml:space="preserve"> and take action on feedback given</w:t>
      </w:r>
    </w:p>
    <w:p w:rsidR="00B154D2" w:rsidRPr="001573D3" w:rsidRDefault="00B154D2" w:rsidP="001573D3">
      <w:pPr>
        <w:pStyle w:val="ListParagraph"/>
        <w:numPr>
          <w:ilvl w:val="0"/>
          <w:numId w:val="30"/>
        </w:numPr>
      </w:pPr>
      <w:r>
        <w:rPr>
          <w:rFonts w:cs="Arial"/>
          <w:szCs w:val="22"/>
        </w:rPr>
        <w:t>C</w:t>
      </w:r>
      <w:r w:rsidRPr="00AF7CC0">
        <w:rPr>
          <w:rFonts w:cs="Arial"/>
          <w:szCs w:val="22"/>
        </w:rPr>
        <w:t>ontinue with real time feedback surveys undertaken by volunteers and governors</w:t>
      </w:r>
    </w:p>
    <w:p w:rsidR="001573D3" w:rsidRDefault="001573D3" w:rsidP="001573D3">
      <w:pPr>
        <w:pStyle w:val="ListParagraph"/>
        <w:numPr>
          <w:ilvl w:val="0"/>
          <w:numId w:val="30"/>
        </w:numPr>
      </w:pPr>
      <w:r w:rsidRPr="001573D3">
        <w:t>Communicate the available feedback channels so that patients and visitors know how they can pay a compliment, raise a concern or make a complaint</w:t>
      </w:r>
    </w:p>
    <w:p w:rsidR="008443BE" w:rsidRPr="001573D3" w:rsidRDefault="008443BE" w:rsidP="001573D3">
      <w:pPr>
        <w:pStyle w:val="ListParagraph"/>
        <w:numPr>
          <w:ilvl w:val="0"/>
          <w:numId w:val="30"/>
        </w:numPr>
      </w:pPr>
      <w:r>
        <w:t>Ensure the Patient Experience Boards are kept up-to-date and useful for patients and their visitors</w:t>
      </w:r>
    </w:p>
    <w:p w:rsidR="001573D3" w:rsidRDefault="001573D3" w:rsidP="006D1518">
      <w:pPr>
        <w:pStyle w:val="ListParagraph"/>
        <w:numPr>
          <w:ilvl w:val="0"/>
          <w:numId w:val="28"/>
        </w:numPr>
        <w:rPr>
          <w:rFonts w:cs="Arial"/>
          <w:szCs w:val="22"/>
        </w:rPr>
      </w:pPr>
      <w:r>
        <w:rPr>
          <w:rFonts w:cs="Arial"/>
          <w:szCs w:val="22"/>
        </w:rPr>
        <w:t xml:space="preserve">Review our website to ensure it is accessible, navigation is </w:t>
      </w:r>
      <w:r w:rsidR="000D0D1E">
        <w:rPr>
          <w:rFonts w:cs="Arial"/>
          <w:szCs w:val="22"/>
        </w:rPr>
        <w:t>clear</w:t>
      </w:r>
      <w:r>
        <w:rPr>
          <w:rFonts w:cs="Arial"/>
          <w:szCs w:val="22"/>
        </w:rPr>
        <w:t xml:space="preserve"> and information given is current</w:t>
      </w:r>
      <w:r w:rsidR="000D0D1E">
        <w:rPr>
          <w:rFonts w:cs="Arial"/>
          <w:szCs w:val="22"/>
        </w:rPr>
        <w:t>. Explore ways to make the website more responsive.</w:t>
      </w:r>
    </w:p>
    <w:p w:rsidR="001573D3" w:rsidRPr="003F3656" w:rsidRDefault="003F3656" w:rsidP="001573D3">
      <w:pPr>
        <w:pStyle w:val="ListParagraph"/>
        <w:numPr>
          <w:ilvl w:val="0"/>
          <w:numId w:val="28"/>
        </w:numPr>
        <w:rPr>
          <w:rFonts w:cs="Arial"/>
          <w:szCs w:val="22"/>
        </w:rPr>
      </w:pPr>
      <w:r>
        <w:rPr>
          <w:rFonts w:cs="Arial"/>
          <w:szCs w:val="22"/>
        </w:rPr>
        <w:t xml:space="preserve">Explore ways to make the Salisbury District </w:t>
      </w:r>
      <w:r w:rsidR="00E660F5">
        <w:rPr>
          <w:rFonts w:cs="Arial"/>
          <w:szCs w:val="22"/>
        </w:rPr>
        <w:t xml:space="preserve">Hospital </w:t>
      </w:r>
      <w:r>
        <w:rPr>
          <w:rFonts w:cs="Arial"/>
          <w:szCs w:val="22"/>
        </w:rPr>
        <w:t>App more patient-friendly and useful.</w:t>
      </w:r>
    </w:p>
    <w:p w:rsidR="006D1518" w:rsidRDefault="006D1518" w:rsidP="00BF310B">
      <w:pPr>
        <w:rPr>
          <w:rFonts w:cs="Arial"/>
          <w:b/>
          <w:szCs w:val="22"/>
        </w:rPr>
      </w:pPr>
    </w:p>
    <w:p w:rsidR="007675F0" w:rsidRPr="006D1518" w:rsidRDefault="006D1518" w:rsidP="006D1518">
      <w:pPr>
        <w:pStyle w:val="ListParagraph"/>
        <w:numPr>
          <w:ilvl w:val="0"/>
          <w:numId w:val="29"/>
        </w:numPr>
        <w:rPr>
          <w:rFonts w:cs="Arial"/>
          <w:b/>
          <w:szCs w:val="22"/>
        </w:rPr>
      </w:pPr>
      <w:r>
        <w:rPr>
          <w:rFonts w:cs="Arial"/>
          <w:b/>
          <w:szCs w:val="22"/>
        </w:rPr>
        <w:t xml:space="preserve"> </w:t>
      </w:r>
      <w:r w:rsidRPr="006D1518">
        <w:rPr>
          <w:rFonts w:cs="Arial"/>
          <w:b/>
          <w:szCs w:val="22"/>
        </w:rPr>
        <w:t>Working together</w:t>
      </w:r>
    </w:p>
    <w:p w:rsidR="006D1518" w:rsidRPr="00A56F24" w:rsidRDefault="006D1518" w:rsidP="00BF310B">
      <w:pPr>
        <w:rPr>
          <w:rFonts w:cs="Arial"/>
          <w:b/>
          <w:color w:val="365F91" w:themeColor="accent1" w:themeShade="BF"/>
          <w:szCs w:val="22"/>
        </w:rPr>
      </w:pPr>
      <w:r w:rsidRPr="00A56F24">
        <w:rPr>
          <w:rFonts w:cs="Arial"/>
          <w:b/>
          <w:color w:val="365F91" w:themeColor="accent1" w:themeShade="BF"/>
          <w:szCs w:val="22"/>
        </w:rPr>
        <w:t>We want to review patient experience (positive and negative) and learn from it so we can improve our services and how people are involved</w:t>
      </w:r>
    </w:p>
    <w:p w:rsidR="006D1518" w:rsidRDefault="006D1518" w:rsidP="00BF310B">
      <w:pPr>
        <w:rPr>
          <w:rFonts w:cs="Arial"/>
          <w:szCs w:val="22"/>
        </w:rPr>
      </w:pPr>
      <w:r>
        <w:rPr>
          <w:rFonts w:cs="Arial"/>
          <w:szCs w:val="22"/>
        </w:rPr>
        <w:t>To do this we will:</w:t>
      </w:r>
    </w:p>
    <w:p w:rsidR="006D1518" w:rsidRDefault="001573D3" w:rsidP="006D1518">
      <w:pPr>
        <w:pStyle w:val="ListParagraph"/>
        <w:numPr>
          <w:ilvl w:val="0"/>
          <w:numId w:val="27"/>
        </w:numPr>
        <w:rPr>
          <w:rFonts w:cs="Arial"/>
          <w:szCs w:val="22"/>
        </w:rPr>
      </w:pPr>
      <w:r>
        <w:rPr>
          <w:rFonts w:cs="Arial"/>
          <w:szCs w:val="22"/>
        </w:rPr>
        <w:t>Reach out and work in partnership with our patients, carers and local communities to improve the way services are delivered</w:t>
      </w:r>
    </w:p>
    <w:p w:rsidR="001573D3" w:rsidRDefault="00C922A6" w:rsidP="006D1518">
      <w:pPr>
        <w:pStyle w:val="ListParagraph"/>
        <w:numPr>
          <w:ilvl w:val="0"/>
          <w:numId w:val="27"/>
        </w:numPr>
        <w:rPr>
          <w:rFonts w:cs="Arial"/>
          <w:szCs w:val="22"/>
        </w:rPr>
      </w:pPr>
      <w:r>
        <w:rPr>
          <w:rFonts w:cs="Arial"/>
          <w:szCs w:val="22"/>
        </w:rPr>
        <w:t>Continue to i</w:t>
      </w:r>
      <w:r w:rsidR="001573D3">
        <w:rPr>
          <w:rFonts w:cs="Arial"/>
          <w:szCs w:val="22"/>
        </w:rPr>
        <w:t>nvolve patients (and their carers) in decisions about their care</w:t>
      </w:r>
    </w:p>
    <w:p w:rsidR="001573D3" w:rsidRDefault="001573D3" w:rsidP="006D1518">
      <w:pPr>
        <w:pStyle w:val="ListParagraph"/>
        <w:numPr>
          <w:ilvl w:val="0"/>
          <w:numId w:val="27"/>
        </w:numPr>
        <w:rPr>
          <w:rFonts w:cs="Arial"/>
          <w:szCs w:val="22"/>
        </w:rPr>
      </w:pPr>
      <w:r>
        <w:rPr>
          <w:rFonts w:cs="Arial"/>
          <w:szCs w:val="22"/>
        </w:rPr>
        <w:t>Include patients and carers in Trust groups such as nutrition, dementia and end of life care</w:t>
      </w:r>
    </w:p>
    <w:p w:rsidR="001573D3" w:rsidRPr="00243DBD" w:rsidRDefault="001573D3" w:rsidP="006D1518">
      <w:pPr>
        <w:pStyle w:val="ListParagraph"/>
        <w:numPr>
          <w:ilvl w:val="0"/>
          <w:numId w:val="27"/>
        </w:numPr>
        <w:rPr>
          <w:rFonts w:cs="Arial"/>
          <w:szCs w:val="22"/>
        </w:rPr>
      </w:pPr>
      <w:r>
        <w:rPr>
          <w:rFonts w:cs="Arial"/>
          <w:szCs w:val="22"/>
        </w:rPr>
        <w:t xml:space="preserve">Hold PALS </w:t>
      </w:r>
      <w:r w:rsidRPr="00243DBD">
        <w:rPr>
          <w:rFonts w:cs="Arial"/>
          <w:szCs w:val="22"/>
        </w:rPr>
        <w:t>surgeries in our local community</w:t>
      </w:r>
      <w:r w:rsidR="00243DBD" w:rsidRPr="00243DBD">
        <w:rPr>
          <w:szCs w:val="22"/>
        </w:rPr>
        <w:t xml:space="preserve"> so that </w:t>
      </w:r>
      <w:r w:rsidR="00243DBD">
        <w:rPr>
          <w:szCs w:val="22"/>
        </w:rPr>
        <w:t xml:space="preserve"> we can help people navigate through our services and help them if they are having problems when </w:t>
      </w:r>
      <w:r w:rsidR="00243DBD" w:rsidRPr="00243DBD">
        <w:rPr>
          <w:szCs w:val="22"/>
        </w:rPr>
        <w:t xml:space="preserve">encountering </w:t>
      </w:r>
      <w:r w:rsidR="00243DBD">
        <w:rPr>
          <w:szCs w:val="22"/>
        </w:rPr>
        <w:t>our</w:t>
      </w:r>
      <w:r w:rsidR="00243DBD" w:rsidRPr="00243DBD">
        <w:rPr>
          <w:szCs w:val="22"/>
        </w:rPr>
        <w:t xml:space="preserve"> services</w:t>
      </w:r>
    </w:p>
    <w:p w:rsidR="00B32545" w:rsidRDefault="00B32545" w:rsidP="006D1518">
      <w:pPr>
        <w:pStyle w:val="ListParagraph"/>
        <w:numPr>
          <w:ilvl w:val="0"/>
          <w:numId w:val="27"/>
        </w:numPr>
        <w:rPr>
          <w:rFonts w:cs="Arial"/>
          <w:szCs w:val="22"/>
        </w:rPr>
      </w:pPr>
      <w:r>
        <w:rPr>
          <w:rFonts w:cs="Arial"/>
          <w:szCs w:val="22"/>
        </w:rPr>
        <w:lastRenderedPageBreak/>
        <w:t>Review our PPI toolkit, update it and re-launch it with staff</w:t>
      </w:r>
    </w:p>
    <w:p w:rsidR="00243DBD" w:rsidRDefault="000536BA" w:rsidP="006D1518">
      <w:pPr>
        <w:pStyle w:val="ListParagraph"/>
        <w:numPr>
          <w:ilvl w:val="0"/>
          <w:numId w:val="27"/>
        </w:numPr>
        <w:rPr>
          <w:rFonts w:cs="Arial"/>
          <w:szCs w:val="22"/>
        </w:rPr>
      </w:pPr>
      <w:r>
        <w:rPr>
          <w:rFonts w:cs="Arial"/>
          <w:szCs w:val="22"/>
        </w:rPr>
        <w:t>When staff are developing questionnaires for patient feedback, c</w:t>
      </w:r>
      <w:r w:rsidR="00243DBD">
        <w:rPr>
          <w:rFonts w:cs="Arial"/>
          <w:szCs w:val="22"/>
        </w:rPr>
        <w:t xml:space="preserve">onsider how patients can be </w:t>
      </w:r>
      <w:r>
        <w:rPr>
          <w:rFonts w:cs="Arial"/>
          <w:szCs w:val="22"/>
        </w:rPr>
        <w:t>involved so that the questions asked are understandable and written in plain English.</w:t>
      </w:r>
    </w:p>
    <w:p w:rsidR="003F3656" w:rsidRDefault="001573D3" w:rsidP="006D1518">
      <w:pPr>
        <w:pStyle w:val="ListParagraph"/>
        <w:numPr>
          <w:ilvl w:val="0"/>
          <w:numId w:val="27"/>
        </w:numPr>
        <w:rPr>
          <w:rFonts w:cs="Arial"/>
          <w:szCs w:val="22"/>
        </w:rPr>
      </w:pPr>
      <w:r>
        <w:rPr>
          <w:rFonts w:cs="Arial"/>
          <w:szCs w:val="22"/>
        </w:rPr>
        <w:t xml:space="preserve">Support staff </w:t>
      </w:r>
      <w:r w:rsidR="00B154D2">
        <w:rPr>
          <w:rFonts w:cs="Arial"/>
          <w:szCs w:val="22"/>
        </w:rPr>
        <w:t>who want to involve patients and the local community</w:t>
      </w:r>
    </w:p>
    <w:p w:rsidR="00D527F5" w:rsidRDefault="00D527F5" w:rsidP="006D1518">
      <w:pPr>
        <w:pStyle w:val="ListParagraph"/>
        <w:numPr>
          <w:ilvl w:val="0"/>
          <w:numId w:val="27"/>
        </w:numPr>
        <w:rPr>
          <w:rFonts w:cs="Arial"/>
          <w:szCs w:val="22"/>
        </w:rPr>
      </w:pPr>
      <w:r>
        <w:rPr>
          <w:rFonts w:cs="Arial"/>
          <w:szCs w:val="22"/>
        </w:rPr>
        <w:t>Continue to hold our Carers Cafes (for our patients and for our staff)</w:t>
      </w:r>
    </w:p>
    <w:p w:rsidR="00B154D2" w:rsidRDefault="003F3656" w:rsidP="006D1518">
      <w:pPr>
        <w:pStyle w:val="ListParagraph"/>
        <w:numPr>
          <w:ilvl w:val="0"/>
          <w:numId w:val="27"/>
        </w:numPr>
        <w:rPr>
          <w:rFonts w:cs="Arial"/>
          <w:szCs w:val="22"/>
        </w:rPr>
      </w:pPr>
      <w:r>
        <w:rPr>
          <w:rFonts w:cs="Arial"/>
          <w:szCs w:val="22"/>
        </w:rPr>
        <w:t>Continue to learn from and share learning as a result of deaths of patients in our care</w:t>
      </w:r>
      <w:r w:rsidR="008443BE">
        <w:rPr>
          <w:rFonts w:cs="Arial"/>
          <w:szCs w:val="22"/>
        </w:rPr>
        <w:t>.</w:t>
      </w:r>
    </w:p>
    <w:p w:rsidR="00D527F5" w:rsidRPr="00D527F5" w:rsidRDefault="00D527F5" w:rsidP="00D527F5">
      <w:pPr>
        <w:ind w:left="360"/>
        <w:rPr>
          <w:rFonts w:cs="Arial"/>
          <w:szCs w:val="22"/>
        </w:rPr>
      </w:pPr>
    </w:p>
    <w:p w:rsidR="006D1518" w:rsidRPr="00D527F5" w:rsidRDefault="006D1518" w:rsidP="00D527F5">
      <w:pPr>
        <w:pStyle w:val="ListParagraph"/>
        <w:numPr>
          <w:ilvl w:val="0"/>
          <w:numId w:val="29"/>
        </w:numPr>
        <w:spacing w:before="0" w:after="0"/>
        <w:rPr>
          <w:rFonts w:cs="Arial"/>
          <w:b/>
          <w:szCs w:val="22"/>
        </w:rPr>
      </w:pPr>
      <w:r w:rsidRPr="00D527F5">
        <w:rPr>
          <w:rFonts w:cs="Arial"/>
          <w:b/>
          <w:szCs w:val="22"/>
        </w:rPr>
        <w:t xml:space="preserve"> Outstanding care</w:t>
      </w:r>
    </w:p>
    <w:p w:rsidR="006D1518" w:rsidRPr="00A56F24" w:rsidRDefault="006D1518" w:rsidP="00BF310B">
      <w:pPr>
        <w:rPr>
          <w:rFonts w:cs="Arial"/>
          <w:b/>
          <w:color w:val="365F91" w:themeColor="accent1" w:themeShade="BF"/>
          <w:szCs w:val="22"/>
        </w:rPr>
      </w:pPr>
      <w:r w:rsidRPr="00A56F24">
        <w:rPr>
          <w:rFonts w:cs="Arial"/>
          <w:b/>
          <w:color w:val="365F91" w:themeColor="accent1" w:themeShade="BF"/>
          <w:szCs w:val="22"/>
        </w:rPr>
        <w:t xml:space="preserve">We want our patients, their families and carers to have </w:t>
      </w:r>
      <w:r w:rsidR="00A56F24">
        <w:rPr>
          <w:rFonts w:cs="Arial"/>
          <w:b/>
          <w:color w:val="365F91" w:themeColor="accent1" w:themeShade="BF"/>
          <w:szCs w:val="22"/>
        </w:rPr>
        <w:t>an outstanding</w:t>
      </w:r>
      <w:r w:rsidRPr="00A56F24">
        <w:rPr>
          <w:rFonts w:cs="Arial"/>
          <w:b/>
          <w:color w:val="365F91" w:themeColor="accent1" w:themeShade="BF"/>
          <w:szCs w:val="22"/>
        </w:rPr>
        <w:t xml:space="preserve"> experience first time and </w:t>
      </w:r>
      <w:r w:rsidR="00C922A6">
        <w:rPr>
          <w:rFonts w:cs="Arial"/>
          <w:b/>
          <w:color w:val="365F91" w:themeColor="accent1" w:themeShade="BF"/>
          <w:szCs w:val="22"/>
        </w:rPr>
        <w:t>e</w:t>
      </w:r>
      <w:r w:rsidRPr="00A56F24">
        <w:rPr>
          <w:rFonts w:cs="Arial"/>
          <w:b/>
          <w:color w:val="365F91" w:themeColor="accent1" w:themeShade="BF"/>
          <w:szCs w:val="22"/>
        </w:rPr>
        <w:t>very time they come into contact with our staff</w:t>
      </w:r>
    </w:p>
    <w:p w:rsidR="006D1518" w:rsidRPr="006D1518" w:rsidRDefault="006D1518" w:rsidP="00BF310B">
      <w:pPr>
        <w:rPr>
          <w:rFonts w:cs="Arial"/>
          <w:szCs w:val="22"/>
        </w:rPr>
      </w:pPr>
      <w:r w:rsidRPr="006D1518">
        <w:rPr>
          <w:rFonts w:cs="Arial"/>
          <w:szCs w:val="22"/>
        </w:rPr>
        <w:t>To do this we will:</w:t>
      </w:r>
    </w:p>
    <w:p w:rsidR="006D1518" w:rsidRDefault="00B154D2" w:rsidP="00B154D2">
      <w:pPr>
        <w:pStyle w:val="ListParagraph"/>
        <w:numPr>
          <w:ilvl w:val="0"/>
          <w:numId w:val="31"/>
        </w:numPr>
        <w:rPr>
          <w:rFonts w:cs="Arial"/>
          <w:szCs w:val="22"/>
        </w:rPr>
      </w:pPr>
      <w:r w:rsidRPr="00B154D2">
        <w:rPr>
          <w:rFonts w:cs="Arial"/>
          <w:szCs w:val="22"/>
        </w:rPr>
        <w:t xml:space="preserve">Review </w:t>
      </w:r>
      <w:r>
        <w:rPr>
          <w:rFonts w:cs="Arial"/>
          <w:szCs w:val="22"/>
        </w:rPr>
        <w:t>our patient experience training</w:t>
      </w:r>
    </w:p>
    <w:p w:rsidR="00B154D2" w:rsidRDefault="00B154D2" w:rsidP="00B154D2">
      <w:pPr>
        <w:pStyle w:val="ListParagraph"/>
        <w:numPr>
          <w:ilvl w:val="0"/>
          <w:numId w:val="31"/>
        </w:numPr>
        <w:rPr>
          <w:rFonts w:cs="Arial"/>
          <w:szCs w:val="22"/>
        </w:rPr>
      </w:pPr>
      <w:r>
        <w:rPr>
          <w:rFonts w:cs="Arial"/>
          <w:szCs w:val="22"/>
        </w:rPr>
        <w:t>Capture, celebrate and publicise positive feedback from patients and staff</w:t>
      </w:r>
    </w:p>
    <w:p w:rsidR="00B154D2" w:rsidRDefault="00B154D2" w:rsidP="00B154D2">
      <w:pPr>
        <w:pStyle w:val="ListParagraph"/>
        <w:numPr>
          <w:ilvl w:val="0"/>
          <w:numId w:val="31"/>
        </w:numPr>
        <w:rPr>
          <w:rFonts w:cs="Arial"/>
          <w:szCs w:val="22"/>
        </w:rPr>
      </w:pPr>
      <w:r>
        <w:rPr>
          <w:rFonts w:cs="Arial"/>
          <w:szCs w:val="22"/>
        </w:rPr>
        <w:t>Implement person-centred care initiatives, such as the purple butterfly, ‘This is Me’</w:t>
      </w:r>
      <w:r w:rsidR="00447312">
        <w:rPr>
          <w:rFonts w:cs="Arial"/>
          <w:szCs w:val="22"/>
        </w:rPr>
        <w:t xml:space="preserve">, #endPJparalysis </w:t>
      </w:r>
      <w:r>
        <w:rPr>
          <w:rFonts w:cs="Arial"/>
          <w:szCs w:val="22"/>
        </w:rPr>
        <w:t>and John’s Campaign</w:t>
      </w:r>
    </w:p>
    <w:p w:rsidR="00B154D2" w:rsidRDefault="00B154D2" w:rsidP="00B154D2">
      <w:pPr>
        <w:pStyle w:val="ListParagraph"/>
        <w:numPr>
          <w:ilvl w:val="0"/>
          <w:numId w:val="31"/>
        </w:numPr>
        <w:rPr>
          <w:rFonts w:cs="Arial"/>
          <w:szCs w:val="22"/>
        </w:rPr>
      </w:pPr>
      <w:r>
        <w:rPr>
          <w:rFonts w:cs="Arial"/>
          <w:szCs w:val="22"/>
        </w:rPr>
        <w:t>Engage with and support carers to give feedback on their experiences of care</w:t>
      </w:r>
    </w:p>
    <w:p w:rsidR="00B154D2" w:rsidRDefault="00B154D2" w:rsidP="00B154D2">
      <w:pPr>
        <w:pStyle w:val="ListParagraph"/>
        <w:numPr>
          <w:ilvl w:val="0"/>
          <w:numId w:val="31"/>
        </w:numPr>
        <w:rPr>
          <w:rFonts w:cs="Arial"/>
          <w:szCs w:val="22"/>
        </w:rPr>
      </w:pPr>
      <w:r>
        <w:rPr>
          <w:rFonts w:cs="Arial"/>
          <w:szCs w:val="22"/>
        </w:rPr>
        <w:t xml:space="preserve">Support carers through the Carers’ </w:t>
      </w:r>
      <w:r w:rsidR="00D527F5">
        <w:rPr>
          <w:rFonts w:cs="Arial"/>
          <w:szCs w:val="22"/>
        </w:rPr>
        <w:t>Café</w:t>
      </w:r>
    </w:p>
    <w:p w:rsidR="00D527F5" w:rsidRDefault="00D527F5" w:rsidP="00B154D2">
      <w:pPr>
        <w:pStyle w:val="ListParagraph"/>
        <w:numPr>
          <w:ilvl w:val="0"/>
          <w:numId w:val="31"/>
        </w:numPr>
        <w:rPr>
          <w:rFonts w:cs="Arial"/>
          <w:szCs w:val="22"/>
        </w:rPr>
      </w:pPr>
      <w:r>
        <w:rPr>
          <w:rFonts w:cs="Arial"/>
          <w:szCs w:val="22"/>
        </w:rPr>
        <w:t>Roll out Making Every Contact Count</w:t>
      </w:r>
      <w:r w:rsidR="00EF38DE">
        <w:rPr>
          <w:rStyle w:val="EndnoteReference"/>
          <w:rFonts w:cs="Arial"/>
          <w:szCs w:val="22"/>
        </w:rPr>
        <w:endnoteReference w:id="3"/>
      </w:r>
      <w:r>
        <w:rPr>
          <w:rFonts w:cs="Arial"/>
          <w:szCs w:val="22"/>
        </w:rPr>
        <w:t xml:space="preserve"> (MECC) training </w:t>
      </w:r>
    </w:p>
    <w:p w:rsidR="00B154D2" w:rsidRDefault="00B154D2" w:rsidP="00B154D2">
      <w:pPr>
        <w:pStyle w:val="ListParagraph"/>
        <w:numPr>
          <w:ilvl w:val="0"/>
          <w:numId w:val="31"/>
        </w:numPr>
        <w:rPr>
          <w:rFonts w:cs="Arial"/>
          <w:szCs w:val="22"/>
        </w:rPr>
      </w:pPr>
      <w:r>
        <w:rPr>
          <w:rFonts w:cs="Arial"/>
          <w:szCs w:val="22"/>
        </w:rPr>
        <w:t>Continue to promote our Freedom to Speak Up initiative for staff to escalate concerns and empower staff to take appropriate actions as required</w:t>
      </w:r>
      <w:r w:rsidR="008443BE">
        <w:rPr>
          <w:rFonts w:cs="Arial"/>
          <w:szCs w:val="22"/>
        </w:rPr>
        <w:t>.</w:t>
      </w:r>
    </w:p>
    <w:p w:rsidR="003F3656" w:rsidRDefault="003F3656" w:rsidP="00B154D2">
      <w:pPr>
        <w:pStyle w:val="ListParagraph"/>
        <w:numPr>
          <w:ilvl w:val="0"/>
          <w:numId w:val="31"/>
        </w:numPr>
        <w:rPr>
          <w:rFonts w:cs="Arial"/>
          <w:szCs w:val="22"/>
        </w:rPr>
      </w:pPr>
      <w:r>
        <w:rPr>
          <w:rFonts w:cs="Arial"/>
          <w:szCs w:val="22"/>
        </w:rPr>
        <w:t>Investigate whether there are any charter marks we should be working towards</w:t>
      </w:r>
      <w:r w:rsidR="00D527F5">
        <w:rPr>
          <w:rFonts w:cs="Arial"/>
          <w:szCs w:val="22"/>
        </w:rPr>
        <w:t>.</w:t>
      </w:r>
    </w:p>
    <w:p w:rsidR="003F3656" w:rsidRDefault="003F3656" w:rsidP="00BF310B">
      <w:pPr>
        <w:rPr>
          <w:rFonts w:cs="Arial"/>
          <w:szCs w:val="22"/>
        </w:rPr>
      </w:pPr>
    </w:p>
    <w:p w:rsidR="00EF422C" w:rsidRPr="00EF422C" w:rsidRDefault="00EF422C" w:rsidP="00BF310B">
      <w:pPr>
        <w:rPr>
          <w:rStyle w:val="Strong"/>
        </w:rPr>
      </w:pPr>
      <w:r w:rsidRPr="00EF422C">
        <w:rPr>
          <w:rStyle w:val="Strong"/>
        </w:rPr>
        <w:t>Who is responsible for putting our strategy into action and how will we report our progress</w:t>
      </w:r>
    </w:p>
    <w:p w:rsidR="00B32545" w:rsidRDefault="00EF422C" w:rsidP="00BF310B">
      <w:r>
        <w:t xml:space="preserve">Everyone in the Trust is responsible for supporting patient and public engagement and the activities relating to the implementation of this strategy. </w:t>
      </w:r>
    </w:p>
    <w:p w:rsidR="00B32545" w:rsidRDefault="00C55D02" w:rsidP="00BF310B">
      <w:r>
        <w:t xml:space="preserve">The role of the PALS </w:t>
      </w:r>
      <w:r w:rsidR="00EF422C">
        <w:t xml:space="preserve">Team is to programme manage the implementation of the strategy, but it is also responsible for delivering a small number of objectives too, which will require contributions from a range of departments. </w:t>
      </w:r>
    </w:p>
    <w:p w:rsidR="008443BE" w:rsidRDefault="00B32545" w:rsidP="00BF310B">
      <w:r>
        <w:t>To monitor progress of the public and patient engagement strategy, a</w:t>
      </w:r>
      <w:r w:rsidR="008C7418">
        <w:t xml:space="preserve"> biannual report will be presented to the Clinical Management Board, </w:t>
      </w:r>
      <w:r>
        <w:t>Clinical Governance Committee and Trust Board.</w:t>
      </w:r>
    </w:p>
    <w:p w:rsidR="003E480F" w:rsidRDefault="00B154D2" w:rsidP="00BF310B">
      <w:pPr>
        <w:rPr>
          <w:rFonts w:cs="Arial"/>
          <w:b/>
          <w:szCs w:val="22"/>
        </w:rPr>
      </w:pPr>
      <w:r>
        <w:t>This strategy has been designed to be flexible and responsive to patient</w:t>
      </w:r>
      <w:r w:rsidR="000D0D1E">
        <w:t>, carer and public</w:t>
      </w:r>
      <w:r>
        <w:t xml:space="preserve"> needs. Priorities may change under the overarching </w:t>
      </w:r>
      <w:r w:rsidR="004E3DE5">
        <w:t>priorities</w:t>
      </w:r>
      <w:r w:rsidR="000D0D1E">
        <w:t xml:space="preserve"> if patient, </w:t>
      </w:r>
      <w:r>
        <w:t>carer</w:t>
      </w:r>
      <w:r w:rsidR="000D0D1E">
        <w:t xml:space="preserve"> and public</w:t>
      </w:r>
      <w:r>
        <w:t xml:space="preserve"> feedback, regulatory, external directives, or health economy priorities steer the </w:t>
      </w:r>
      <w:r w:rsidR="000D0D1E">
        <w:t>T</w:t>
      </w:r>
      <w:r>
        <w:t>rust in this direction.</w:t>
      </w:r>
    </w:p>
    <w:p w:rsidR="00E61278" w:rsidRDefault="00E61278">
      <w:pPr>
        <w:spacing w:before="0" w:after="0"/>
        <w:rPr>
          <w:rFonts w:cs="Arial"/>
          <w:szCs w:val="22"/>
        </w:rPr>
      </w:pPr>
    </w:p>
    <w:p w:rsidR="00C922A6" w:rsidRDefault="00C922A6">
      <w:pPr>
        <w:spacing w:before="0" w:after="0"/>
        <w:rPr>
          <w:rFonts w:cs="Arial"/>
          <w:b/>
          <w:szCs w:val="22"/>
        </w:rPr>
      </w:pPr>
      <w:r>
        <w:rPr>
          <w:rFonts w:cs="Arial"/>
          <w:b/>
          <w:szCs w:val="22"/>
        </w:rPr>
        <w:br w:type="page"/>
      </w:r>
    </w:p>
    <w:p w:rsidR="00A01344" w:rsidRDefault="00A01344" w:rsidP="00A01344">
      <w:pPr>
        <w:rPr>
          <w:rFonts w:cs="Arial"/>
          <w:b/>
          <w:szCs w:val="22"/>
        </w:rPr>
      </w:pPr>
      <w:r>
        <w:rPr>
          <w:rFonts w:cs="Arial"/>
          <w:b/>
          <w:szCs w:val="22"/>
        </w:rPr>
        <w:lastRenderedPageBreak/>
        <w:t>Key drivers of patient experience – the national picture</w:t>
      </w:r>
    </w:p>
    <w:p w:rsidR="00A01344" w:rsidRDefault="00AC57A8" w:rsidP="00AC57A8">
      <w:r>
        <w:t xml:space="preserve">The </w:t>
      </w:r>
      <w:r w:rsidR="00A01344">
        <w:t xml:space="preserve">NHS </w:t>
      </w:r>
      <w:r>
        <w:t>Long Term Plan</w:t>
      </w:r>
      <w:r w:rsidR="003A3A2B">
        <w:rPr>
          <w:rStyle w:val="EndnoteReference"/>
        </w:rPr>
        <w:endnoteReference w:id="4"/>
      </w:r>
      <w:r>
        <w:t xml:space="preserve"> sets out how the NHS will be made fit for the future, and to get the most value for patients out of every pound of taxpayers’ investment</w:t>
      </w:r>
    </w:p>
    <w:p w:rsidR="003A3A2B" w:rsidRPr="00B61CAE" w:rsidRDefault="003A3A2B" w:rsidP="003A3A2B">
      <w:pPr>
        <w:pStyle w:val="ListParagraph"/>
        <w:numPr>
          <w:ilvl w:val="0"/>
          <w:numId w:val="36"/>
        </w:numPr>
        <w:rPr>
          <w:rFonts w:cs="Arial"/>
          <w:szCs w:val="22"/>
        </w:rPr>
      </w:pPr>
      <w:r>
        <w:rPr>
          <w:rFonts w:cs="Arial"/>
          <w:color w:val="141414"/>
          <w:szCs w:val="22"/>
          <w:shd w:val="clear" w:color="auto" w:fill="FFFFFF"/>
        </w:rPr>
        <w:t>It</w:t>
      </w:r>
      <w:r w:rsidR="00AC57A8" w:rsidRPr="003A3A2B">
        <w:rPr>
          <w:rFonts w:cs="Arial"/>
          <w:color w:val="141414"/>
          <w:szCs w:val="22"/>
          <w:shd w:val="clear" w:color="auto" w:fill="FFFFFF"/>
        </w:rPr>
        <w:t xml:space="preserve"> calls for a ‘fundamental shift’ in the way that the NHS works alongside patients and individuals. Highlighting the need to create genuine partnerships between professionals and patients, it commits to training staff to be able to have conversations that help people make the decisions that are right for them.</w:t>
      </w:r>
    </w:p>
    <w:p w:rsidR="00B61CAE" w:rsidRPr="00B61CAE" w:rsidRDefault="00B61CAE" w:rsidP="003A3A2B">
      <w:pPr>
        <w:pStyle w:val="ListParagraph"/>
        <w:numPr>
          <w:ilvl w:val="0"/>
          <w:numId w:val="36"/>
        </w:numPr>
        <w:rPr>
          <w:rFonts w:cs="Arial"/>
          <w:szCs w:val="22"/>
        </w:rPr>
      </w:pPr>
      <w:r w:rsidRPr="00B61CAE">
        <w:rPr>
          <w:rFonts w:cs="Arial"/>
          <w:color w:val="141414"/>
          <w:szCs w:val="22"/>
          <w:shd w:val="clear" w:color="auto" w:fill="FFFFFF"/>
        </w:rPr>
        <w:t>There is a commitment to increasing support for people to manage their own health, beginning in areas such as diabetes prevention and management. </w:t>
      </w:r>
    </w:p>
    <w:p w:rsidR="00AC57A8" w:rsidRPr="003A3A2B" w:rsidRDefault="003A3A2B" w:rsidP="003A3A2B">
      <w:pPr>
        <w:pStyle w:val="ListParagraph"/>
        <w:numPr>
          <w:ilvl w:val="0"/>
          <w:numId w:val="36"/>
        </w:numPr>
        <w:rPr>
          <w:rFonts w:cs="Arial"/>
          <w:szCs w:val="22"/>
        </w:rPr>
      </w:pPr>
      <w:r w:rsidRPr="003A3A2B">
        <w:rPr>
          <w:rFonts w:cs="Arial"/>
          <w:color w:val="141414"/>
          <w:szCs w:val="22"/>
          <w:shd w:val="clear" w:color="auto" w:fill="FFFFFF"/>
        </w:rPr>
        <w:t>The plan also includes a focus on supporting carers. It encourages the national roll-out of carer’s passports, which enable staff to identify someone as a carer and involve them in the patient’s care and promises a more proactive approach to supporting young carers.</w:t>
      </w:r>
    </w:p>
    <w:p w:rsidR="00A01344" w:rsidRDefault="00A01344" w:rsidP="00A01344">
      <w:r>
        <w:t>The White Paper, ‘Equity and Excellence: Liberating the NHS’</w:t>
      </w:r>
      <w:r>
        <w:rPr>
          <w:rStyle w:val="EndnoteReference"/>
        </w:rPr>
        <w:endnoteReference w:id="5"/>
      </w:r>
      <w:r>
        <w:t xml:space="preserve"> highlights the central aim of putting patients and the public first, to offer greater choice and control. This includes shared decision making, underpinned by the principle ‘nothing about me without me’. </w:t>
      </w:r>
    </w:p>
    <w:p w:rsidR="00A01344" w:rsidRDefault="00A01344" w:rsidP="00A01344">
      <w:r>
        <w:t>The National Institute for Health and Care Excellence (NICE) Quality Standards for patient experience in adult services</w:t>
      </w:r>
      <w:r>
        <w:rPr>
          <w:rStyle w:val="EndnoteReference"/>
        </w:rPr>
        <w:endnoteReference w:id="6"/>
      </w:r>
      <w:r>
        <w:t xml:space="preserve"> sets </w:t>
      </w:r>
      <w:r>
        <w:rPr>
          <w:rFonts w:ascii="Helvetica Neue" w:hAnsi="Helvetica Neue"/>
          <w:color w:val="0E0E0E"/>
          <w:shd w:val="clear" w:color="auto" w:fill="FAFAFB"/>
        </w:rPr>
        <w:t>the foundation for an 'NHS cultural shift' towards a truly patient-centred service;</w:t>
      </w:r>
      <w:r>
        <w:t xml:space="preserve"> making it clear that we must carry on embedding good practice in all that we do.</w:t>
      </w:r>
    </w:p>
    <w:p w:rsidR="00A01344" w:rsidRDefault="00A01344" w:rsidP="00A01344">
      <w:r>
        <w:t xml:space="preserve">A number of other national policy drivers have informed our approach and listed below is a brief description of each driver’s key message: </w:t>
      </w:r>
    </w:p>
    <w:p w:rsidR="00A01344" w:rsidRDefault="00A01344" w:rsidP="00A01344">
      <w:pPr>
        <w:pStyle w:val="ListParagraph"/>
        <w:numPr>
          <w:ilvl w:val="0"/>
          <w:numId w:val="24"/>
        </w:numPr>
      </w:pPr>
      <w:r>
        <w:t>High Quality Care for All</w:t>
      </w:r>
      <w:r>
        <w:rPr>
          <w:rStyle w:val="EndnoteReference"/>
        </w:rPr>
        <w:endnoteReference w:id="7"/>
      </w:r>
      <w:r>
        <w:t xml:space="preserve"> stresses that the NHS needs to work in partnership to prevent ill health and provide care that is personal, effective and safe</w:t>
      </w:r>
    </w:p>
    <w:p w:rsidR="00A01344" w:rsidRDefault="00A01344" w:rsidP="00A01344">
      <w:pPr>
        <w:pStyle w:val="ListParagraph"/>
        <w:numPr>
          <w:ilvl w:val="0"/>
          <w:numId w:val="24"/>
        </w:numPr>
      </w:pPr>
      <w:r>
        <w:t>The NHS Constitution</w:t>
      </w:r>
      <w:r>
        <w:rPr>
          <w:rStyle w:val="EndnoteReference"/>
        </w:rPr>
        <w:endnoteReference w:id="8"/>
      </w:r>
      <w:r>
        <w:t xml:space="preserve"> makes it clear that the general public have a right to be involved in the decision about the planning and delivery of local services. This will help the NHS to demonstrate that it is responding to the views and experiences of local people </w:t>
      </w:r>
    </w:p>
    <w:p w:rsidR="00A01344" w:rsidRDefault="00A01344" w:rsidP="00A01344">
      <w:pPr>
        <w:pStyle w:val="ListParagraph"/>
        <w:numPr>
          <w:ilvl w:val="0"/>
          <w:numId w:val="24"/>
        </w:numPr>
      </w:pPr>
      <w:r>
        <w:t>NHS Outcomes Framework 2015-16</w:t>
      </w:r>
      <w:r>
        <w:rPr>
          <w:rStyle w:val="EndnoteReference"/>
        </w:rPr>
        <w:endnoteReference w:id="9"/>
      </w:r>
      <w:r>
        <w:t xml:space="preserve"> Domain 4 - ensuring people have a positive experience of care </w:t>
      </w:r>
    </w:p>
    <w:p w:rsidR="00A01344" w:rsidRDefault="00A01344" w:rsidP="00A01344">
      <w:pPr>
        <w:pStyle w:val="ListParagraph"/>
        <w:numPr>
          <w:ilvl w:val="0"/>
          <w:numId w:val="24"/>
        </w:numPr>
      </w:pPr>
      <w:r>
        <w:t xml:space="preserve">Quality </w:t>
      </w:r>
      <w:r w:rsidRPr="00E168D0">
        <w:t>Accounts</w:t>
      </w:r>
      <w:r>
        <w:rPr>
          <w:rStyle w:val="EndnoteReference"/>
        </w:rPr>
        <w:endnoteReference w:id="10"/>
      </w:r>
      <w:r w:rsidRPr="00E168D0">
        <w:t xml:space="preserve"> </w:t>
      </w:r>
      <w:r>
        <w:t>– detail how t</w:t>
      </w:r>
      <w:r w:rsidRPr="00E168D0">
        <w:t xml:space="preserve">he quality of </w:t>
      </w:r>
      <w:r>
        <w:t>each NHS service provider</w:t>
      </w:r>
      <w:r w:rsidRPr="00E168D0">
        <w:t xml:space="preserve"> is measured by looking at patient safety, the effectiveness of treatments patients receive, and patient feedback about the care provided.</w:t>
      </w:r>
    </w:p>
    <w:p w:rsidR="00A01344" w:rsidRDefault="00A01344" w:rsidP="00A01344">
      <w:pPr>
        <w:pStyle w:val="ListParagraph"/>
        <w:numPr>
          <w:ilvl w:val="0"/>
          <w:numId w:val="24"/>
        </w:numPr>
      </w:pPr>
      <w:r>
        <w:t>The Health and Social Care Act</w:t>
      </w:r>
      <w:r>
        <w:rPr>
          <w:rStyle w:val="EndnoteReference"/>
        </w:rPr>
        <w:endnoteReference w:id="11"/>
      </w:r>
      <w:r>
        <w:t xml:space="preserve"> set up the Care Quality Commission (CQC) and made it a requirement for them to look at people’s experiences of care in the NHS</w:t>
      </w:r>
    </w:p>
    <w:p w:rsidR="00A01344" w:rsidRPr="008C7167" w:rsidRDefault="00A01344" w:rsidP="00A01344">
      <w:pPr>
        <w:pStyle w:val="ListParagraph"/>
        <w:numPr>
          <w:ilvl w:val="0"/>
          <w:numId w:val="24"/>
        </w:numPr>
      </w:pPr>
      <w:r w:rsidRPr="008C7167">
        <w:t>The Kings Fund</w:t>
      </w:r>
      <w:r>
        <w:rPr>
          <w:rStyle w:val="EndnoteReference"/>
        </w:rPr>
        <w:endnoteReference w:id="12"/>
      </w:r>
      <w:r w:rsidRPr="008C7167">
        <w:t xml:space="preserve"> </w:t>
      </w:r>
      <w:r>
        <w:t xml:space="preserve">found </w:t>
      </w:r>
      <w:r w:rsidRPr="008C7167">
        <w:t xml:space="preserve">a wide variation in the quality of health information available </w:t>
      </w:r>
      <w:r>
        <w:t xml:space="preserve">for patients in the NHS </w:t>
      </w:r>
      <w:r w:rsidRPr="008C7167">
        <w:t>and warned that the information being produced must meet certain standards</w:t>
      </w:r>
    </w:p>
    <w:p w:rsidR="00A01344" w:rsidRDefault="00A01344" w:rsidP="00A01344">
      <w:pPr>
        <w:pStyle w:val="ListParagraph"/>
        <w:numPr>
          <w:ilvl w:val="0"/>
          <w:numId w:val="24"/>
        </w:numPr>
      </w:pPr>
      <w:r>
        <w:t>The Accessible Information Standard</w:t>
      </w:r>
      <w:r>
        <w:rPr>
          <w:rStyle w:val="EndnoteReference"/>
        </w:rPr>
        <w:endnoteReference w:id="13"/>
      </w:r>
      <w:r>
        <w:t xml:space="preserve"> aims to make sure that people who have a disability, impairment or sensory loss can communicate effectively with health and social care services and are given information that they can easily read or understand </w:t>
      </w:r>
    </w:p>
    <w:p w:rsidR="00A01344" w:rsidRDefault="00A01344" w:rsidP="00A01344">
      <w:pPr>
        <w:pStyle w:val="ListParagraph"/>
        <w:numPr>
          <w:ilvl w:val="0"/>
          <w:numId w:val="24"/>
        </w:numPr>
      </w:pPr>
      <w:r>
        <w:t>NICE guideline: Community Engagement improving health and wellbeing and reducing health inequalities</w:t>
      </w:r>
      <w:r>
        <w:rPr>
          <w:rStyle w:val="EndnoteReference"/>
        </w:rPr>
        <w:endnoteReference w:id="14"/>
      </w:r>
      <w:r>
        <w:t xml:space="preserve"> – includes good practice principles on engagement and how to make engagement more effective</w:t>
      </w:r>
    </w:p>
    <w:p w:rsidR="00A01344" w:rsidRDefault="00A01344" w:rsidP="00A01344">
      <w:r>
        <w:t>The Ladder of Engagement</w:t>
      </w:r>
      <w:r>
        <w:rPr>
          <w:rStyle w:val="EndnoteReference"/>
        </w:rPr>
        <w:endnoteReference w:id="15"/>
      </w:r>
      <w:r>
        <w:t xml:space="preserve"> recognises that engagement is valuable on every step of the ladder, although participation becomes increasingly more meaningful at the top of the ladder (see appendix 1)</w:t>
      </w:r>
    </w:p>
    <w:p w:rsidR="00A01344" w:rsidRDefault="00A01344" w:rsidP="00A01344"/>
    <w:p w:rsidR="004E3DE5" w:rsidRDefault="004E3DE5">
      <w:pPr>
        <w:spacing w:before="0" w:after="0"/>
        <w:rPr>
          <w:rFonts w:cs="Arial"/>
          <w:szCs w:val="22"/>
        </w:rPr>
      </w:pPr>
      <w:r>
        <w:rPr>
          <w:rFonts w:cs="Arial"/>
          <w:szCs w:val="22"/>
        </w:rPr>
        <w:br w:type="page"/>
      </w:r>
    </w:p>
    <w:p w:rsidR="00C47B64" w:rsidRPr="007A436A" w:rsidRDefault="00E61278" w:rsidP="007A436A">
      <w:pPr>
        <w:jc w:val="right"/>
        <w:rPr>
          <w:rFonts w:cs="Arial"/>
          <w:b/>
          <w:szCs w:val="22"/>
        </w:rPr>
      </w:pPr>
      <w:r w:rsidRPr="007A436A">
        <w:rPr>
          <w:rFonts w:cs="Arial"/>
          <w:b/>
          <w:szCs w:val="22"/>
        </w:rPr>
        <w:lastRenderedPageBreak/>
        <w:t>Appendix 1</w:t>
      </w:r>
    </w:p>
    <w:p w:rsidR="00E61278" w:rsidRPr="00E61278" w:rsidRDefault="00E61278" w:rsidP="00E61278">
      <w:pPr>
        <w:rPr>
          <w:rStyle w:val="Strong"/>
        </w:rPr>
      </w:pPr>
      <w:r w:rsidRPr="00E61278">
        <w:rPr>
          <w:rStyle w:val="Strong"/>
        </w:rPr>
        <w:t>NHS Engagement Ladder</w:t>
      </w:r>
    </w:p>
    <w:p w:rsidR="00486CA2" w:rsidRDefault="00E61278" w:rsidP="00E61278">
      <w:pPr>
        <w:rPr>
          <w:rFonts w:cs="Arial"/>
          <w:szCs w:val="22"/>
        </w:rPr>
      </w:pPr>
      <w:r>
        <w:rPr>
          <w:rFonts w:cs="Arial"/>
          <w:szCs w:val="22"/>
        </w:rPr>
        <w:t xml:space="preserve">Core to the Patient </w:t>
      </w:r>
      <w:r w:rsidR="00486CA2">
        <w:rPr>
          <w:rFonts w:cs="Arial"/>
          <w:szCs w:val="22"/>
        </w:rPr>
        <w:t xml:space="preserve">and Public Engagement </w:t>
      </w:r>
      <w:r>
        <w:rPr>
          <w:rFonts w:cs="Arial"/>
          <w:szCs w:val="22"/>
        </w:rPr>
        <w:t xml:space="preserve">Strategy is a cultural shift from ‘doing to’ to ‘working with’ our patients and local community.  </w:t>
      </w:r>
    </w:p>
    <w:p w:rsidR="00E61278" w:rsidRPr="00AF7CC0" w:rsidRDefault="00E61278" w:rsidP="00E61278">
      <w:pPr>
        <w:rPr>
          <w:rFonts w:cs="Arial"/>
          <w:szCs w:val="22"/>
        </w:rPr>
      </w:pPr>
      <w:r>
        <w:rPr>
          <w:rFonts w:cs="Arial"/>
          <w:szCs w:val="22"/>
        </w:rPr>
        <w:t>The Engagement Ladder is a model promoted by NHS England which shows the steps that staff can take to make their engagement with patients and members of the public more meaningful</w:t>
      </w:r>
      <w:r w:rsidR="00571220">
        <w:rPr>
          <w:rFonts w:cs="Arial"/>
          <w:szCs w:val="22"/>
        </w:rPr>
        <w:t>.</w:t>
      </w:r>
    </w:p>
    <w:p w:rsidR="00C47B64" w:rsidRPr="00AF7CC0" w:rsidRDefault="00C47B64" w:rsidP="00BF310B">
      <w:pPr>
        <w:rPr>
          <w:rFonts w:cs="Arial"/>
          <w:szCs w:val="22"/>
        </w:rPr>
      </w:pPr>
    </w:p>
    <w:p w:rsidR="00C47B64" w:rsidRPr="00AF7CC0" w:rsidRDefault="00E61278" w:rsidP="00BF310B">
      <w:pPr>
        <w:rPr>
          <w:rFonts w:cs="Arial"/>
          <w:szCs w:val="22"/>
        </w:rPr>
      </w:pPr>
      <w:r>
        <w:rPr>
          <w:rFonts w:cs="Arial"/>
          <w:noProof/>
          <w:szCs w:val="22"/>
        </w:rPr>
        <w:drawing>
          <wp:inline distT="0" distB="0" distL="0" distR="0">
            <wp:extent cx="5486400" cy="3200400"/>
            <wp:effectExtent l="57150" t="38100" r="9525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47B64" w:rsidRPr="00AF7CC0" w:rsidRDefault="00C47B64" w:rsidP="00BF310B">
      <w:pPr>
        <w:rPr>
          <w:rFonts w:cs="Arial"/>
          <w:szCs w:val="22"/>
        </w:rPr>
      </w:pPr>
    </w:p>
    <w:p w:rsidR="00C47B64" w:rsidRPr="00AF7CC0" w:rsidRDefault="00C47B64"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AF7CC0" w:rsidRPr="00AF7CC0" w:rsidRDefault="00AF7CC0" w:rsidP="00BF310B">
      <w:pPr>
        <w:rPr>
          <w:rFonts w:cs="Arial"/>
          <w:szCs w:val="22"/>
        </w:rPr>
      </w:pPr>
    </w:p>
    <w:p w:rsidR="00571220" w:rsidRDefault="00571220">
      <w:pPr>
        <w:spacing w:before="0" w:after="0"/>
        <w:rPr>
          <w:rFonts w:cs="Arial"/>
          <w:b/>
          <w:szCs w:val="22"/>
        </w:rPr>
      </w:pPr>
      <w:r>
        <w:rPr>
          <w:rFonts w:cs="Arial"/>
          <w:b/>
          <w:szCs w:val="22"/>
        </w:rPr>
        <w:br w:type="page"/>
      </w:r>
    </w:p>
    <w:p w:rsidR="00713CD8" w:rsidRPr="00AF7CC0" w:rsidRDefault="00C11C41" w:rsidP="00713CD8">
      <w:pPr>
        <w:jc w:val="right"/>
        <w:rPr>
          <w:rFonts w:cs="Arial"/>
          <w:b/>
          <w:szCs w:val="22"/>
        </w:rPr>
      </w:pPr>
      <w:r w:rsidRPr="00AF7CC0">
        <w:rPr>
          <w:rFonts w:cs="Arial"/>
          <w:b/>
          <w:szCs w:val="22"/>
        </w:rPr>
        <w:lastRenderedPageBreak/>
        <w:t>A</w:t>
      </w:r>
      <w:r w:rsidR="00713CD8" w:rsidRPr="00AF7CC0">
        <w:rPr>
          <w:rFonts w:cs="Arial"/>
          <w:b/>
          <w:szCs w:val="22"/>
        </w:rPr>
        <w:t xml:space="preserve">ppendix </w:t>
      </w:r>
      <w:r w:rsidR="004B08CD">
        <w:rPr>
          <w:rFonts w:cs="Arial"/>
          <w:b/>
          <w:szCs w:val="22"/>
        </w:rPr>
        <w:t>2</w:t>
      </w:r>
    </w:p>
    <w:p w:rsidR="00713CD8" w:rsidRPr="00AF7CC0" w:rsidRDefault="00713CD8" w:rsidP="00713CD8">
      <w:pPr>
        <w:jc w:val="center"/>
        <w:rPr>
          <w:rFonts w:cs="Arial"/>
          <w:b/>
          <w:szCs w:val="22"/>
        </w:rPr>
      </w:pPr>
      <w:r w:rsidRPr="00AF7CC0">
        <w:rPr>
          <w:rFonts w:cs="Arial"/>
          <w:b/>
          <w:szCs w:val="22"/>
        </w:rPr>
        <w:t>Patient and Public Involvement Group</w:t>
      </w:r>
    </w:p>
    <w:p w:rsidR="00713CD8" w:rsidRPr="00AF7CC0" w:rsidRDefault="00713CD8" w:rsidP="00713CD8">
      <w:pPr>
        <w:jc w:val="center"/>
        <w:rPr>
          <w:rFonts w:cs="Arial"/>
          <w:b/>
          <w:szCs w:val="22"/>
        </w:rPr>
      </w:pPr>
      <w:r w:rsidRPr="00AF7CC0">
        <w:rPr>
          <w:rFonts w:cs="Arial"/>
          <w:b/>
          <w:szCs w:val="22"/>
        </w:rPr>
        <w:t>Terms of Reference</w:t>
      </w:r>
    </w:p>
    <w:p w:rsidR="00130D9C" w:rsidRPr="00AF7CC0" w:rsidRDefault="00130D9C" w:rsidP="00130D9C">
      <w:pPr>
        <w:rPr>
          <w:rFonts w:cs="Arial"/>
          <w:b/>
          <w:szCs w:val="22"/>
        </w:rPr>
      </w:pPr>
      <w:r w:rsidRPr="00AF7CC0">
        <w:rPr>
          <w:rFonts w:cs="Arial"/>
          <w:b/>
          <w:szCs w:val="22"/>
        </w:rPr>
        <w:t>Purpose</w:t>
      </w:r>
    </w:p>
    <w:p w:rsidR="00130D9C" w:rsidRPr="00AF7CC0" w:rsidRDefault="00130D9C" w:rsidP="00130D9C">
      <w:pPr>
        <w:rPr>
          <w:rFonts w:cs="Arial"/>
          <w:szCs w:val="22"/>
        </w:rPr>
      </w:pPr>
      <w:r w:rsidRPr="00AF7CC0">
        <w:rPr>
          <w:rFonts w:cs="Arial"/>
          <w:szCs w:val="22"/>
        </w:rPr>
        <w:t>The purpose of the Patie</w:t>
      </w:r>
      <w:r w:rsidR="00F60DA5" w:rsidRPr="00AF7CC0">
        <w:rPr>
          <w:rFonts w:cs="Arial"/>
          <w:szCs w:val="22"/>
        </w:rPr>
        <w:t xml:space="preserve">nt and Public Involvement Group </w:t>
      </w:r>
      <w:r w:rsidRPr="00AF7CC0">
        <w:rPr>
          <w:rFonts w:cs="Arial"/>
          <w:szCs w:val="22"/>
        </w:rPr>
        <w:t xml:space="preserve">is to support the Trust moving forward in developing services to meet the needs of patients and the public. It is a forum for health professionals and representatives involved in patient and public involvement in all areas of secondary care, providing peer support and discussion to understand the patient and public experience, ensuring robust standards are met. </w:t>
      </w:r>
    </w:p>
    <w:p w:rsidR="00130D9C" w:rsidRPr="00AF7CC0" w:rsidRDefault="00130D9C" w:rsidP="00130D9C">
      <w:pPr>
        <w:rPr>
          <w:rFonts w:cs="Arial"/>
          <w:b/>
          <w:szCs w:val="22"/>
        </w:rPr>
      </w:pPr>
      <w:r w:rsidRPr="00AF7CC0">
        <w:rPr>
          <w:rFonts w:cs="Arial"/>
          <w:b/>
          <w:szCs w:val="22"/>
        </w:rPr>
        <w:t>Objective</w:t>
      </w:r>
    </w:p>
    <w:p w:rsidR="00130D9C" w:rsidRPr="00AF7CC0" w:rsidRDefault="00130D9C" w:rsidP="00130D9C">
      <w:pPr>
        <w:pStyle w:val="ListParagraph"/>
        <w:numPr>
          <w:ilvl w:val="0"/>
          <w:numId w:val="15"/>
        </w:numPr>
        <w:rPr>
          <w:rFonts w:cs="Arial"/>
          <w:b/>
          <w:szCs w:val="22"/>
        </w:rPr>
      </w:pPr>
      <w:r w:rsidRPr="00AF7CC0">
        <w:rPr>
          <w:rFonts w:cs="Arial"/>
          <w:szCs w:val="22"/>
        </w:rPr>
        <w:t xml:space="preserve">To provide a forum </w:t>
      </w:r>
      <w:r w:rsidRPr="00AF7CC0">
        <w:rPr>
          <w:rFonts w:eastAsia="SimSun" w:cs="Arial"/>
          <w:szCs w:val="22"/>
        </w:rPr>
        <w:t>for regular discussion</w:t>
      </w:r>
      <w:r w:rsidR="004A3915" w:rsidRPr="00AF7CC0">
        <w:rPr>
          <w:rFonts w:eastAsia="SimSun" w:cs="Arial"/>
          <w:szCs w:val="22"/>
        </w:rPr>
        <w:t xml:space="preserve"> via email</w:t>
      </w:r>
      <w:r w:rsidRPr="00AF7CC0">
        <w:rPr>
          <w:rFonts w:eastAsia="SimSun" w:cs="Arial"/>
          <w:szCs w:val="22"/>
        </w:rPr>
        <w:t xml:space="preserve"> of proposed projects, updates, actions and feedback on developments relating to projects that have been undertaken involving patients and the public.</w:t>
      </w:r>
    </w:p>
    <w:p w:rsidR="00130D9C" w:rsidRPr="00AF7CC0" w:rsidRDefault="00130D9C" w:rsidP="00130D9C">
      <w:pPr>
        <w:pStyle w:val="ListParagraph"/>
        <w:numPr>
          <w:ilvl w:val="0"/>
          <w:numId w:val="15"/>
        </w:numPr>
        <w:rPr>
          <w:rFonts w:cs="Arial"/>
          <w:b/>
          <w:szCs w:val="22"/>
        </w:rPr>
      </w:pPr>
      <w:r w:rsidRPr="00AF7CC0">
        <w:rPr>
          <w:rFonts w:eastAsia="SimSun" w:cs="Arial"/>
          <w:szCs w:val="22"/>
        </w:rPr>
        <w:t>To provide facilitator support where necessary.</w:t>
      </w:r>
    </w:p>
    <w:p w:rsidR="00130D9C" w:rsidRPr="00AF7CC0" w:rsidRDefault="00130D9C" w:rsidP="00130D9C">
      <w:pPr>
        <w:pStyle w:val="ListParagraph"/>
        <w:numPr>
          <w:ilvl w:val="0"/>
          <w:numId w:val="15"/>
        </w:numPr>
        <w:rPr>
          <w:rFonts w:cs="Arial"/>
          <w:b/>
          <w:szCs w:val="22"/>
        </w:rPr>
      </w:pPr>
      <w:r w:rsidRPr="00AF7CC0">
        <w:rPr>
          <w:rFonts w:eastAsia="SimSun" w:cs="Arial"/>
          <w:szCs w:val="22"/>
        </w:rPr>
        <w:t>To provide support for teams wishing to undertake a project by ensuring that they are compliant with:</w:t>
      </w:r>
    </w:p>
    <w:p w:rsidR="00130D9C" w:rsidRPr="00C55D02" w:rsidRDefault="00130D9C" w:rsidP="00C55D02">
      <w:pPr>
        <w:pStyle w:val="ListParagraph"/>
        <w:numPr>
          <w:ilvl w:val="1"/>
          <w:numId w:val="15"/>
        </w:numPr>
        <w:rPr>
          <w:rFonts w:cs="Arial"/>
          <w:szCs w:val="22"/>
        </w:rPr>
      </w:pPr>
      <w:r w:rsidRPr="00C55D02">
        <w:rPr>
          <w:rFonts w:cs="Arial"/>
          <w:szCs w:val="22"/>
        </w:rPr>
        <w:t xml:space="preserve">Data </w:t>
      </w:r>
      <w:r w:rsidR="00C55D02">
        <w:rPr>
          <w:rFonts w:cs="Arial"/>
          <w:szCs w:val="22"/>
        </w:rPr>
        <w:t>P</w:t>
      </w:r>
      <w:r w:rsidRPr="00C55D02">
        <w:rPr>
          <w:rFonts w:cs="Arial"/>
          <w:szCs w:val="22"/>
        </w:rPr>
        <w:t>rotection</w:t>
      </w:r>
    </w:p>
    <w:p w:rsidR="00130D9C" w:rsidRPr="00C55D02" w:rsidRDefault="00130D9C" w:rsidP="00C55D02">
      <w:pPr>
        <w:pStyle w:val="ListParagraph"/>
        <w:numPr>
          <w:ilvl w:val="1"/>
          <w:numId w:val="15"/>
        </w:numPr>
        <w:rPr>
          <w:rFonts w:cs="Arial"/>
          <w:szCs w:val="22"/>
        </w:rPr>
      </w:pPr>
      <w:r w:rsidRPr="00C55D02">
        <w:rPr>
          <w:rFonts w:cs="Arial"/>
          <w:szCs w:val="22"/>
        </w:rPr>
        <w:t>Equality and diversity</w:t>
      </w:r>
    </w:p>
    <w:p w:rsidR="00130D9C" w:rsidRPr="00C55D02" w:rsidRDefault="00130D9C" w:rsidP="00C55D02">
      <w:pPr>
        <w:pStyle w:val="ListParagraph"/>
        <w:numPr>
          <w:ilvl w:val="1"/>
          <w:numId w:val="15"/>
        </w:numPr>
        <w:rPr>
          <w:rFonts w:cs="Arial"/>
          <w:szCs w:val="22"/>
        </w:rPr>
      </w:pPr>
      <w:r w:rsidRPr="00C55D02">
        <w:rPr>
          <w:rFonts w:cs="Arial"/>
          <w:szCs w:val="22"/>
        </w:rPr>
        <w:t>Confidentiality</w:t>
      </w:r>
    </w:p>
    <w:p w:rsidR="00130D9C" w:rsidRPr="00C55D02" w:rsidRDefault="00130D9C" w:rsidP="00C55D02">
      <w:pPr>
        <w:pStyle w:val="ListParagraph"/>
        <w:numPr>
          <w:ilvl w:val="1"/>
          <w:numId w:val="15"/>
        </w:numPr>
        <w:rPr>
          <w:rFonts w:cs="Arial"/>
          <w:b/>
          <w:szCs w:val="22"/>
        </w:rPr>
      </w:pPr>
      <w:r w:rsidRPr="00C55D02">
        <w:rPr>
          <w:rFonts w:cs="Arial"/>
          <w:szCs w:val="22"/>
        </w:rPr>
        <w:t>Document legibility and readability</w:t>
      </w:r>
    </w:p>
    <w:p w:rsidR="00130D9C" w:rsidRPr="00AF7CC0" w:rsidRDefault="00130D9C" w:rsidP="00130D9C">
      <w:pPr>
        <w:pStyle w:val="ListParagraph"/>
        <w:numPr>
          <w:ilvl w:val="0"/>
          <w:numId w:val="16"/>
        </w:numPr>
        <w:rPr>
          <w:rFonts w:cs="Arial"/>
          <w:b/>
          <w:szCs w:val="22"/>
        </w:rPr>
      </w:pPr>
      <w:r w:rsidRPr="00AF7CC0">
        <w:rPr>
          <w:rFonts w:cs="Arial"/>
          <w:szCs w:val="22"/>
        </w:rPr>
        <w:t xml:space="preserve">To provide expertise with regard to implementation of user involvement being undertaken in all areas of the Trust. </w:t>
      </w:r>
    </w:p>
    <w:p w:rsidR="00130D9C" w:rsidRPr="00AF7CC0" w:rsidRDefault="00130D9C" w:rsidP="00130D9C">
      <w:pPr>
        <w:pStyle w:val="ListParagraph"/>
        <w:numPr>
          <w:ilvl w:val="0"/>
          <w:numId w:val="16"/>
        </w:numPr>
        <w:rPr>
          <w:rFonts w:cs="Arial"/>
          <w:b/>
          <w:szCs w:val="22"/>
        </w:rPr>
      </w:pPr>
      <w:r w:rsidRPr="00AF7CC0">
        <w:rPr>
          <w:rFonts w:cs="Arial"/>
          <w:szCs w:val="22"/>
        </w:rPr>
        <w:t>To support the Trust to move forward in PPI to drive change and to meet the needs of the patient</w:t>
      </w:r>
      <w:r w:rsidR="00486CA2">
        <w:rPr>
          <w:rFonts w:cs="Arial"/>
          <w:szCs w:val="22"/>
        </w:rPr>
        <w:t>s and carers</w:t>
      </w:r>
      <w:r w:rsidRPr="00AF7CC0">
        <w:rPr>
          <w:rFonts w:cs="Arial"/>
          <w:szCs w:val="22"/>
        </w:rPr>
        <w:t>.</w:t>
      </w:r>
    </w:p>
    <w:p w:rsidR="00130D9C" w:rsidRPr="00AF7CC0" w:rsidRDefault="00130D9C" w:rsidP="00130D9C">
      <w:pPr>
        <w:rPr>
          <w:rFonts w:cs="Arial"/>
          <w:b/>
          <w:szCs w:val="22"/>
        </w:rPr>
      </w:pPr>
      <w:r w:rsidRPr="00AF7CC0">
        <w:rPr>
          <w:rFonts w:cs="Arial"/>
          <w:b/>
          <w:szCs w:val="22"/>
        </w:rPr>
        <w:t>Accountability</w:t>
      </w:r>
    </w:p>
    <w:p w:rsidR="00130D9C" w:rsidRPr="00AF7CC0" w:rsidRDefault="00130D9C" w:rsidP="00130D9C">
      <w:pPr>
        <w:rPr>
          <w:rFonts w:cs="Arial"/>
          <w:b/>
          <w:szCs w:val="22"/>
        </w:rPr>
      </w:pPr>
      <w:r w:rsidRPr="00AF7CC0">
        <w:rPr>
          <w:rFonts w:cs="Arial"/>
          <w:szCs w:val="22"/>
        </w:rPr>
        <w:t xml:space="preserve">To report to the Clinical Governance Committee and Trust Board via the quarterly </w:t>
      </w:r>
      <w:r w:rsidR="007A436A">
        <w:rPr>
          <w:rFonts w:cs="Arial"/>
          <w:szCs w:val="22"/>
        </w:rPr>
        <w:t>Patient Experience</w:t>
      </w:r>
      <w:r w:rsidRPr="00AF7CC0">
        <w:rPr>
          <w:rFonts w:cs="Arial"/>
          <w:szCs w:val="22"/>
        </w:rPr>
        <w:t xml:space="preserve"> report.</w:t>
      </w:r>
    </w:p>
    <w:p w:rsidR="00130D9C" w:rsidRPr="00AF7CC0" w:rsidRDefault="00130D9C" w:rsidP="001C1D0B">
      <w:pPr>
        <w:rPr>
          <w:rFonts w:cs="Arial"/>
          <w:b/>
          <w:szCs w:val="22"/>
        </w:rPr>
      </w:pPr>
      <w:r w:rsidRPr="00AF7CC0">
        <w:rPr>
          <w:rFonts w:cs="Arial"/>
          <w:b/>
          <w:szCs w:val="22"/>
        </w:rPr>
        <w:t>Membership</w:t>
      </w:r>
    </w:p>
    <w:p w:rsidR="00130D9C" w:rsidRPr="00AF7CC0" w:rsidRDefault="00130D9C" w:rsidP="00130D9C">
      <w:pPr>
        <w:pStyle w:val="ListParagraph"/>
        <w:numPr>
          <w:ilvl w:val="0"/>
          <w:numId w:val="13"/>
        </w:numPr>
        <w:rPr>
          <w:rFonts w:cs="Arial"/>
          <w:szCs w:val="22"/>
        </w:rPr>
      </w:pPr>
      <w:r w:rsidRPr="00AF7CC0">
        <w:rPr>
          <w:rFonts w:cs="Arial"/>
          <w:szCs w:val="22"/>
        </w:rPr>
        <w:t xml:space="preserve">Head of </w:t>
      </w:r>
      <w:r w:rsidR="00C55D02">
        <w:rPr>
          <w:rFonts w:cs="Arial"/>
          <w:szCs w:val="22"/>
        </w:rPr>
        <w:t>Patient Experience</w:t>
      </w:r>
      <w:r w:rsidRPr="00AF7CC0">
        <w:rPr>
          <w:rFonts w:cs="Arial"/>
          <w:szCs w:val="22"/>
        </w:rPr>
        <w:t xml:space="preserve"> (Chair)</w:t>
      </w:r>
    </w:p>
    <w:p w:rsidR="00130D9C" w:rsidRPr="00AF7CC0" w:rsidRDefault="00A32E48" w:rsidP="00130D9C">
      <w:pPr>
        <w:pStyle w:val="ListParagraph"/>
        <w:numPr>
          <w:ilvl w:val="0"/>
          <w:numId w:val="13"/>
        </w:numPr>
        <w:rPr>
          <w:rFonts w:cs="Arial"/>
          <w:szCs w:val="22"/>
        </w:rPr>
      </w:pPr>
      <w:r w:rsidRPr="00AF7CC0">
        <w:rPr>
          <w:rFonts w:cs="Arial"/>
          <w:szCs w:val="22"/>
        </w:rPr>
        <w:t>Customer Care Advisor -</w:t>
      </w:r>
      <w:r w:rsidR="00C922A6">
        <w:rPr>
          <w:rFonts w:cs="Arial"/>
          <w:szCs w:val="22"/>
        </w:rPr>
        <w:t xml:space="preserve"> </w:t>
      </w:r>
      <w:r w:rsidRPr="00AF7CC0">
        <w:rPr>
          <w:rFonts w:cs="Arial"/>
          <w:szCs w:val="22"/>
        </w:rPr>
        <w:t>PPI</w:t>
      </w:r>
    </w:p>
    <w:p w:rsidR="00130D9C" w:rsidRPr="00AF7CC0" w:rsidRDefault="00A32E48" w:rsidP="00130D9C">
      <w:pPr>
        <w:pStyle w:val="ListParagraph"/>
        <w:numPr>
          <w:ilvl w:val="0"/>
          <w:numId w:val="13"/>
        </w:numPr>
        <w:rPr>
          <w:rFonts w:cs="Arial"/>
          <w:szCs w:val="22"/>
        </w:rPr>
      </w:pPr>
      <w:r w:rsidRPr="00AF7CC0">
        <w:rPr>
          <w:rFonts w:cs="Arial"/>
          <w:szCs w:val="22"/>
        </w:rPr>
        <w:t>Trust Innovation Lead</w:t>
      </w:r>
      <w:r w:rsidR="00130D9C" w:rsidRPr="00AF7CC0">
        <w:rPr>
          <w:rFonts w:cs="Arial"/>
          <w:szCs w:val="22"/>
        </w:rPr>
        <w:t xml:space="preserve"> </w:t>
      </w:r>
      <w:r w:rsidR="00130D9C" w:rsidRPr="00AF7CC0">
        <w:rPr>
          <w:rFonts w:cs="Arial"/>
          <w:szCs w:val="22"/>
        </w:rPr>
        <w:tab/>
      </w:r>
    </w:p>
    <w:p w:rsidR="00130D9C" w:rsidRPr="00AF7CC0" w:rsidRDefault="00130D9C" w:rsidP="00130D9C">
      <w:pPr>
        <w:pStyle w:val="ListParagraph"/>
        <w:numPr>
          <w:ilvl w:val="0"/>
          <w:numId w:val="13"/>
        </w:numPr>
        <w:rPr>
          <w:rFonts w:cs="Arial"/>
          <w:szCs w:val="22"/>
        </w:rPr>
      </w:pPr>
      <w:r w:rsidRPr="00AF7CC0">
        <w:rPr>
          <w:rFonts w:cs="Arial"/>
          <w:szCs w:val="22"/>
        </w:rPr>
        <w:t>Clinical Audit Facilitator</w:t>
      </w:r>
      <w:r w:rsidRPr="00AF7CC0">
        <w:rPr>
          <w:rFonts w:cs="Arial"/>
          <w:szCs w:val="22"/>
        </w:rPr>
        <w:tab/>
        <w:t xml:space="preserve"> </w:t>
      </w:r>
      <w:r w:rsidRPr="00AF7CC0">
        <w:rPr>
          <w:rFonts w:cs="Arial"/>
          <w:szCs w:val="22"/>
        </w:rPr>
        <w:tab/>
      </w:r>
      <w:r w:rsidRPr="00AF7CC0">
        <w:rPr>
          <w:rFonts w:cs="Arial"/>
          <w:szCs w:val="22"/>
        </w:rPr>
        <w:tab/>
      </w:r>
      <w:r w:rsidRPr="00AF7CC0">
        <w:rPr>
          <w:rFonts w:cs="Arial"/>
          <w:szCs w:val="22"/>
        </w:rPr>
        <w:tab/>
      </w:r>
    </w:p>
    <w:p w:rsidR="00130D9C" w:rsidRPr="00AF7CC0" w:rsidRDefault="00A32E48" w:rsidP="00130D9C">
      <w:pPr>
        <w:pStyle w:val="ListParagraph"/>
        <w:numPr>
          <w:ilvl w:val="0"/>
          <w:numId w:val="13"/>
        </w:numPr>
        <w:rPr>
          <w:rFonts w:cs="Arial"/>
          <w:szCs w:val="22"/>
        </w:rPr>
      </w:pPr>
      <w:r w:rsidRPr="00AF7CC0">
        <w:rPr>
          <w:rFonts w:cs="Arial"/>
          <w:szCs w:val="22"/>
        </w:rPr>
        <w:t>Project Manager, PMO</w:t>
      </w:r>
      <w:r w:rsidR="00130D9C" w:rsidRPr="00AF7CC0">
        <w:rPr>
          <w:rFonts w:cs="Arial"/>
          <w:szCs w:val="22"/>
        </w:rPr>
        <w:tab/>
      </w:r>
      <w:r w:rsidR="00130D9C" w:rsidRPr="00AF7CC0">
        <w:rPr>
          <w:rFonts w:cs="Arial"/>
          <w:szCs w:val="22"/>
        </w:rPr>
        <w:tab/>
      </w:r>
      <w:r w:rsidR="00130D9C" w:rsidRPr="00AF7CC0">
        <w:rPr>
          <w:rFonts w:cs="Arial"/>
          <w:szCs w:val="22"/>
        </w:rPr>
        <w:tab/>
      </w:r>
      <w:r w:rsidR="00130D9C" w:rsidRPr="00AF7CC0">
        <w:rPr>
          <w:rFonts w:cs="Arial"/>
          <w:szCs w:val="22"/>
        </w:rPr>
        <w:tab/>
      </w:r>
      <w:r w:rsidR="00130D9C" w:rsidRPr="00AF7CC0">
        <w:rPr>
          <w:rFonts w:cs="Arial"/>
          <w:szCs w:val="22"/>
        </w:rPr>
        <w:tab/>
      </w:r>
    </w:p>
    <w:p w:rsidR="00130D9C" w:rsidRDefault="0096360E" w:rsidP="00130D9C">
      <w:pPr>
        <w:pStyle w:val="ListParagraph"/>
        <w:numPr>
          <w:ilvl w:val="0"/>
          <w:numId w:val="13"/>
        </w:numPr>
        <w:rPr>
          <w:rFonts w:cs="Arial"/>
          <w:szCs w:val="22"/>
        </w:rPr>
      </w:pPr>
      <w:r w:rsidRPr="00AF7CC0">
        <w:rPr>
          <w:rFonts w:cs="Arial"/>
          <w:szCs w:val="22"/>
        </w:rPr>
        <w:t>Head of Therapies</w:t>
      </w:r>
    </w:p>
    <w:p w:rsidR="004B08CD" w:rsidRPr="00AF7CC0" w:rsidRDefault="004B08CD" w:rsidP="00130D9C">
      <w:pPr>
        <w:pStyle w:val="ListParagraph"/>
        <w:numPr>
          <w:ilvl w:val="0"/>
          <w:numId w:val="13"/>
        </w:numPr>
        <w:rPr>
          <w:rFonts w:cs="Arial"/>
          <w:szCs w:val="22"/>
        </w:rPr>
      </w:pPr>
      <w:r>
        <w:rPr>
          <w:rFonts w:cs="Arial"/>
          <w:szCs w:val="22"/>
        </w:rPr>
        <w:t>Matron for Quality Improvement</w:t>
      </w:r>
    </w:p>
    <w:p w:rsidR="004A3915" w:rsidRPr="00AF7CC0" w:rsidRDefault="00130D9C" w:rsidP="004A3915">
      <w:pPr>
        <w:spacing w:before="80" w:after="80"/>
        <w:rPr>
          <w:rFonts w:cs="Arial"/>
          <w:b/>
          <w:szCs w:val="22"/>
        </w:rPr>
      </w:pPr>
      <w:r w:rsidRPr="00AF7CC0">
        <w:rPr>
          <w:rFonts w:cs="Arial"/>
          <w:b/>
          <w:szCs w:val="22"/>
        </w:rPr>
        <w:t xml:space="preserve">Frequency and format of </w:t>
      </w:r>
      <w:r w:rsidR="004A3915" w:rsidRPr="00AF7CC0">
        <w:rPr>
          <w:rFonts w:cs="Arial"/>
          <w:b/>
          <w:szCs w:val="22"/>
        </w:rPr>
        <w:t>email communication</w:t>
      </w:r>
    </w:p>
    <w:p w:rsidR="00130D9C" w:rsidRPr="00AF7CC0" w:rsidRDefault="004A3915" w:rsidP="00130D9C">
      <w:pPr>
        <w:pStyle w:val="ListParagraph"/>
        <w:numPr>
          <w:ilvl w:val="0"/>
          <w:numId w:val="14"/>
        </w:numPr>
        <w:rPr>
          <w:rFonts w:cs="Arial"/>
          <w:szCs w:val="22"/>
        </w:rPr>
      </w:pPr>
      <w:r w:rsidRPr="00AF7CC0">
        <w:rPr>
          <w:rFonts w:cs="Arial"/>
          <w:szCs w:val="22"/>
        </w:rPr>
        <w:t>PPI project a</w:t>
      </w:r>
      <w:r w:rsidR="00130D9C" w:rsidRPr="00AF7CC0">
        <w:rPr>
          <w:rFonts w:cs="Arial"/>
          <w:szCs w:val="22"/>
        </w:rPr>
        <w:t xml:space="preserve">pplications to be circulated </w:t>
      </w:r>
      <w:r w:rsidRPr="00AF7CC0">
        <w:rPr>
          <w:rFonts w:cs="Arial"/>
          <w:szCs w:val="22"/>
        </w:rPr>
        <w:t>via email, on receipt of the draft proposal, for comment and agreement.</w:t>
      </w:r>
    </w:p>
    <w:p w:rsidR="00130D9C" w:rsidRPr="00AF7CC0" w:rsidRDefault="00130D9C" w:rsidP="00130D9C">
      <w:pPr>
        <w:pStyle w:val="ListParagraph"/>
        <w:numPr>
          <w:ilvl w:val="0"/>
          <w:numId w:val="14"/>
        </w:numPr>
        <w:rPr>
          <w:rFonts w:cs="Arial"/>
          <w:szCs w:val="22"/>
        </w:rPr>
      </w:pPr>
      <w:r w:rsidRPr="00AF7CC0">
        <w:rPr>
          <w:rFonts w:cs="Arial"/>
          <w:szCs w:val="22"/>
        </w:rPr>
        <w:t xml:space="preserve">Applicants to be informed </w:t>
      </w:r>
      <w:r w:rsidR="004A3915" w:rsidRPr="00AF7CC0">
        <w:rPr>
          <w:rFonts w:cs="Arial"/>
          <w:szCs w:val="22"/>
        </w:rPr>
        <w:t>in writing whether their project has been approved or not.</w:t>
      </w:r>
      <w:r w:rsidRPr="00AF7CC0">
        <w:rPr>
          <w:rFonts w:cs="Arial"/>
          <w:szCs w:val="22"/>
        </w:rPr>
        <w:t xml:space="preserve"> </w:t>
      </w:r>
    </w:p>
    <w:p w:rsidR="004A3915" w:rsidRPr="00AF7CC0" w:rsidRDefault="004A3915" w:rsidP="00130D9C">
      <w:pPr>
        <w:pStyle w:val="ListParagraph"/>
        <w:numPr>
          <w:ilvl w:val="0"/>
          <w:numId w:val="14"/>
        </w:numPr>
        <w:rPr>
          <w:rFonts w:cs="Arial"/>
          <w:szCs w:val="22"/>
        </w:rPr>
      </w:pPr>
      <w:r w:rsidRPr="00AF7CC0">
        <w:rPr>
          <w:rFonts w:cs="Arial"/>
          <w:szCs w:val="22"/>
        </w:rPr>
        <w:t>Face-to-face support for project leads is available from the PPIG members.</w:t>
      </w:r>
    </w:p>
    <w:p w:rsidR="00130D9C" w:rsidRPr="00AF7CC0" w:rsidRDefault="00130D9C" w:rsidP="001C1D0B">
      <w:pPr>
        <w:spacing w:before="80" w:after="100"/>
        <w:rPr>
          <w:rFonts w:cs="Arial"/>
          <w:szCs w:val="22"/>
        </w:rPr>
      </w:pPr>
      <w:r w:rsidRPr="00AF7CC0">
        <w:rPr>
          <w:rFonts w:cs="Arial"/>
          <w:b/>
          <w:szCs w:val="22"/>
        </w:rPr>
        <w:t>Quorum</w:t>
      </w:r>
      <w:r w:rsidR="001C1D0B" w:rsidRPr="00AF7CC0">
        <w:rPr>
          <w:rFonts w:cs="Arial"/>
          <w:b/>
          <w:szCs w:val="22"/>
        </w:rPr>
        <w:br/>
      </w:r>
      <w:r w:rsidRPr="00AF7CC0">
        <w:rPr>
          <w:rFonts w:cs="Arial"/>
          <w:szCs w:val="22"/>
        </w:rPr>
        <w:t xml:space="preserve">The quorum for </w:t>
      </w:r>
      <w:r w:rsidR="004A3915" w:rsidRPr="00AF7CC0">
        <w:rPr>
          <w:rFonts w:cs="Arial"/>
          <w:szCs w:val="22"/>
        </w:rPr>
        <w:t xml:space="preserve">project approval is </w:t>
      </w:r>
      <w:r w:rsidR="00EE4710">
        <w:rPr>
          <w:rFonts w:cs="Arial"/>
          <w:szCs w:val="22"/>
        </w:rPr>
        <w:t>three</w:t>
      </w:r>
      <w:r w:rsidRPr="00AF7CC0">
        <w:rPr>
          <w:rFonts w:cs="Arial"/>
          <w:szCs w:val="22"/>
        </w:rPr>
        <w:t xml:space="preserve"> members, including at least one of the following:</w:t>
      </w:r>
    </w:p>
    <w:p w:rsidR="001C1D0B" w:rsidRPr="00AF7CC0" w:rsidRDefault="00130D9C" w:rsidP="001C1D0B">
      <w:pPr>
        <w:pStyle w:val="ListParagraph"/>
        <w:numPr>
          <w:ilvl w:val="0"/>
          <w:numId w:val="17"/>
        </w:numPr>
        <w:rPr>
          <w:rFonts w:cs="Arial"/>
          <w:szCs w:val="22"/>
        </w:rPr>
      </w:pPr>
      <w:r w:rsidRPr="00AF7CC0">
        <w:rPr>
          <w:rFonts w:cs="Arial"/>
          <w:szCs w:val="22"/>
        </w:rPr>
        <w:t xml:space="preserve">Head of </w:t>
      </w:r>
      <w:r w:rsidR="00261233">
        <w:rPr>
          <w:rFonts w:cs="Arial"/>
          <w:szCs w:val="22"/>
        </w:rPr>
        <w:t>Patient Experience</w:t>
      </w:r>
      <w:r w:rsidRPr="00AF7CC0">
        <w:rPr>
          <w:rFonts w:cs="Arial"/>
          <w:szCs w:val="22"/>
        </w:rPr>
        <w:t xml:space="preserve"> </w:t>
      </w:r>
    </w:p>
    <w:p w:rsidR="00130D9C" w:rsidRPr="00AF7CC0" w:rsidRDefault="00733942" w:rsidP="001C1D0B">
      <w:pPr>
        <w:pStyle w:val="ListParagraph"/>
        <w:numPr>
          <w:ilvl w:val="0"/>
          <w:numId w:val="17"/>
        </w:numPr>
        <w:rPr>
          <w:rFonts w:cs="Arial"/>
          <w:szCs w:val="22"/>
        </w:rPr>
      </w:pPr>
      <w:r w:rsidRPr="00AF7CC0">
        <w:rPr>
          <w:rFonts w:cs="Arial"/>
          <w:szCs w:val="22"/>
        </w:rPr>
        <w:t>PPI</w:t>
      </w:r>
      <w:r w:rsidR="005A62CE">
        <w:rPr>
          <w:rFonts w:cs="Arial"/>
          <w:szCs w:val="22"/>
        </w:rPr>
        <w:t xml:space="preserve"> Lead</w:t>
      </w:r>
    </w:p>
    <w:p w:rsidR="0085369C" w:rsidRDefault="0085369C">
      <w:pPr>
        <w:spacing w:before="0" w:after="0"/>
        <w:rPr>
          <w:rFonts w:cs="Arial"/>
          <w:szCs w:val="22"/>
        </w:rPr>
      </w:pPr>
      <w:r>
        <w:rPr>
          <w:rFonts w:cs="Arial"/>
          <w:szCs w:val="22"/>
        </w:rPr>
        <w:br w:type="page"/>
      </w:r>
    </w:p>
    <w:p w:rsidR="00245487" w:rsidRDefault="00245487" w:rsidP="00245487">
      <w:pPr>
        <w:jc w:val="right"/>
        <w:rPr>
          <w:rFonts w:cs="Arial"/>
          <w:szCs w:val="22"/>
        </w:rPr>
      </w:pPr>
      <w:r w:rsidRPr="00AF7CC0">
        <w:rPr>
          <w:rFonts w:cs="Arial"/>
          <w:b/>
          <w:szCs w:val="22"/>
        </w:rPr>
        <w:lastRenderedPageBreak/>
        <w:t xml:space="preserve">Appendix </w:t>
      </w:r>
      <w:r w:rsidR="007A436A">
        <w:rPr>
          <w:rFonts w:cs="Arial"/>
          <w:b/>
          <w:szCs w:val="22"/>
        </w:rPr>
        <w:t>3</w:t>
      </w:r>
    </w:p>
    <w:p w:rsidR="00245487" w:rsidRPr="00337B2E" w:rsidRDefault="0085369C" w:rsidP="00245487">
      <w:pPr>
        <w:rPr>
          <w:rFonts w:cs="Arial"/>
          <w:b/>
          <w:szCs w:val="22"/>
        </w:rPr>
      </w:pPr>
      <w:r w:rsidRPr="00337B2E">
        <w:rPr>
          <w:rFonts w:cs="Arial"/>
          <w:b/>
          <w:szCs w:val="22"/>
        </w:rPr>
        <w:t>Glossary of terms used:</w:t>
      </w:r>
      <w:r w:rsidR="00245487" w:rsidRPr="00337B2E">
        <w:rPr>
          <w:rFonts w:cs="Arial"/>
          <w:b/>
          <w:szCs w:val="22"/>
        </w:rPr>
        <w:t xml:space="preserve"> </w:t>
      </w:r>
    </w:p>
    <w:tbl>
      <w:tblPr>
        <w:tblStyle w:val="LightList-Accent1"/>
        <w:tblW w:w="0" w:type="auto"/>
        <w:tblLook w:val="04A0" w:firstRow="1" w:lastRow="0" w:firstColumn="1" w:lastColumn="0" w:noHBand="0" w:noVBand="1"/>
      </w:tblPr>
      <w:tblGrid>
        <w:gridCol w:w="2943"/>
        <w:gridCol w:w="6911"/>
      </w:tblGrid>
      <w:tr w:rsidR="0085369C" w:rsidTr="00245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5369C" w:rsidRDefault="00C922A6">
            <w:pPr>
              <w:spacing w:before="0" w:after="0"/>
              <w:rPr>
                <w:rFonts w:cs="Arial"/>
                <w:szCs w:val="22"/>
              </w:rPr>
            </w:pPr>
            <w:r>
              <w:rPr>
                <w:rFonts w:cs="Arial"/>
                <w:szCs w:val="22"/>
              </w:rPr>
              <w:t>Term</w:t>
            </w:r>
          </w:p>
        </w:tc>
        <w:tc>
          <w:tcPr>
            <w:tcW w:w="6911" w:type="dxa"/>
          </w:tcPr>
          <w:p w:rsidR="0085369C" w:rsidRDefault="00C922A6">
            <w:pPr>
              <w:spacing w:before="0" w:after="0"/>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 xml:space="preserve">Explanation </w:t>
            </w:r>
          </w:p>
        </w:tc>
      </w:tr>
      <w:tr w:rsidR="00716A64"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16A64" w:rsidRPr="00A01344" w:rsidRDefault="00245487" w:rsidP="00C922A6">
            <w:r w:rsidRPr="00245487">
              <w:t>Accessible Information Standard</w:t>
            </w:r>
          </w:p>
        </w:tc>
        <w:tc>
          <w:tcPr>
            <w:tcW w:w="6911" w:type="dxa"/>
          </w:tcPr>
          <w:p w:rsidR="00716A64" w:rsidRPr="00245487" w:rsidRDefault="00245487" w:rsidP="00245487">
            <w:pPr>
              <w:cnfStyle w:val="000000100000" w:firstRow="0" w:lastRow="0" w:firstColumn="0" w:lastColumn="0" w:oddVBand="0" w:evenVBand="0" w:oddHBand="1" w:evenHBand="0" w:firstRowFirstColumn="0" w:firstRowLastColumn="0" w:lastRowFirstColumn="0" w:lastRowLastColumn="0"/>
            </w:pPr>
            <w:r w:rsidRPr="00245487">
              <w:t>All</w:t>
            </w:r>
            <w:r w:rsidR="00716A64" w:rsidRPr="00245487">
              <w:t xml:space="preserve"> organisations provid</w:t>
            </w:r>
            <w:r w:rsidRPr="00245487">
              <w:t>ing NHS care and/</w:t>
            </w:r>
            <w:r w:rsidR="00716A64" w:rsidRPr="00245487">
              <w:t>or publicly-funded adult social care are legally required to follow the Accessible Information Standard. The Standard sets out a specific, consistent approach to identifying, recording, flagging, sharing and meeting the information and communication support needs of patients, service users, carers and parents with a disability, impairment or sensory loss.</w:t>
            </w:r>
          </w:p>
        </w:tc>
      </w:tr>
      <w:tr w:rsidR="00C922A6" w:rsidTr="00245487">
        <w:tc>
          <w:tcPr>
            <w:cnfStyle w:val="001000000000" w:firstRow="0" w:lastRow="0" w:firstColumn="1" w:lastColumn="0" w:oddVBand="0" w:evenVBand="0" w:oddHBand="0" w:evenHBand="0" w:firstRowFirstColumn="0" w:firstRowLastColumn="0" w:lastRowFirstColumn="0" w:lastRowLastColumn="0"/>
            <w:tcW w:w="2943" w:type="dxa"/>
          </w:tcPr>
          <w:p w:rsidR="00C922A6" w:rsidRPr="00A01344" w:rsidRDefault="00C922A6" w:rsidP="00C922A6">
            <w:r w:rsidRPr="00A01344">
              <w:t xml:space="preserve">Clinical Governance Committee </w:t>
            </w:r>
          </w:p>
          <w:p w:rsidR="00C922A6" w:rsidRDefault="00C922A6" w:rsidP="00C922A6">
            <w:pPr>
              <w:spacing w:before="0" w:after="0"/>
              <w:rPr>
                <w:rFonts w:cs="Arial"/>
                <w:szCs w:val="22"/>
              </w:rPr>
            </w:pPr>
          </w:p>
        </w:tc>
        <w:tc>
          <w:tcPr>
            <w:tcW w:w="6911" w:type="dxa"/>
          </w:tcPr>
          <w:p w:rsidR="00C922A6" w:rsidRDefault="00C922A6" w:rsidP="00C922A6">
            <w:pPr>
              <w:spacing w:before="0" w:after="0"/>
              <w:cnfStyle w:val="000000000000" w:firstRow="0" w:lastRow="0" w:firstColumn="0" w:lastColumn="0" w:oddVBand="0" w:evenVBand="0" w:oddHBand="0" w:evenHBand="0" w:firstRowFirstColumn="0" w:firstRowLastColumn="0" w:lastRowFirstColumn="0" w:lastRowLastColumn="0"/>
              <w:rPr>
                <w:rFonts w:cs="Arial"/>
                <w:szCs w:val="22"/>
              </w:rPr>
            </w:pPr>
            <w:r>
              <w:t xml:space="preserve">A </w:t>
            </w:r>
            <w:r w:rsidR="00245487">
              <w:t xml:space="preserve">hospital </w:t>
            </w:r>
            <w:r>
              <w:t xml:space="preserve">committee with representation from executives, non-executive directors and clinicians from all areas within the hospital.  </w:t>
            </w:r>
            <w:r w:rsidR="00245487">
              <w:t>It works t</w:t>
            </w:r>
            <w:r>
              <w:t>o provide assurance to the Board that the Trust has a robust framework for the management of key critical clinical systems and processes</w:t>
            </w:r>
          </w:p>
        </w:tc>
      </w:tr>
      <w:tr w:rsidR="00245487"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45487" w:rsidRPr="0085369C" w:rsidRDefault="00245487" w:rsidP="00C922A6">
            <w:r>
              <w:t>Customer Care Boards</w:t>
            </w:r>
          </w:p>
        </w:tc>
        <w:tc>
          <w:tcPr>
            <w:tcW w:w="6911" w:type="dxa"/>
          </w:tcPr>
          <w:p w:rsidR="00245487" w:rsidRPr="00C922A6" w:rsidRDefault="00245487" w:rsidP="00C922A6">
            <w:pPr>
              <w:cnfStyle w:val="000000100000" w:firstRow="0" w:lastRow="0" w:firstColumn="0" w:lastColumn="0" w:oddVBand="0" w:evenVBand="0" w:oddHBand="1" w:evenHBand="0" w:firstRowFirstColumn="0" w:firstRowLastColumn="0" w:lastRowFirstColumn="0" w:lastRowLastColumn="0"/>
            </w:pPr>
            <w:r>
              <w:t xml:space="preserve">Customer Care Boards are displayed in corridors outside all the inpatient areas in the hospital.  Patient feedback is highlighted in a ‘you said, we did’ </w:t>
            </w:r>
            <w:r w:rsidR="007A436A">
              <w:t>section.</w:t>
            </w:r>
            <w:r>
              <w:t xml:space="preserve">  The boards are also used as a communication tool (for example when wards are closed due to infection)</w:t>
            </w:r>
          </w:p>
        </w:tc>
      </w:tr>
      <w:tr w:rsidR="00C922A6" w:rsidTr="00245487">
        <w:tc>
          <w:tcPr>
            <w:cnfStyle w:val="001000000000" w:firstRow="0" w:lastRow="0" w:firstColumn="1" w:lastColumn="0" w:oddVBand="0" w:evenVBand="0" w:oddHBand="0" w:evenHBand="0" w:firstRowFirstColumn="0" w:firstRowLastColumn="0" w:lastRowFirstColumn="0" w:lastRowLastColumn="0"/>
            <w:tcW w:w="2943" w:type="dxa"/>
          </w:tcPr>
          <w:p w:rsidR="00C922A6" w:rsidRPr="0085369C" w:rsidRDefault="00C922A6" w:rsidP="00C922A6">
            <w:r w:rsidRPr="0085369C">
              <w:t>Friends and Family Test (FFT)</w:t>
            </w:r>
          </w:p>
        </w:tc>
        <w:tc>
          <w:tcPr>
            <w:tcW w:w="6911" w:type="dxa"/>
          </w:tcPr>
          <w:p w:rsidR="00C922A6" w:rsidRPr="0085369C" w:rsidRDefault="00C922A6" w:rsidP="00C922A6">
            <w:pPr>
              <w:cnfStyle w:val="000000000000" w:firstRow="0" w:lastRow="0" w:firstColumn="0" w:lastColumn="0" w:oddVBand="0" w:evenVBand="0" w:oddHBand="0" w:evenHBand="0" w:firstRowFirstColumn="0" w:firstRowLastColumn="0" w:lastRowFirstColumn="0" w:lastRowLastColumn="0"/>
            </w:pPr>
            <w:r w:rsidRPr="00C922A6">
              <w:t>The Friends and Family Test</w:t>
            </w:r>
            <w:r w:rsidRPr="0085369C">
              <w:t xml:space="preserve"> is a</w:t>
            </w:r>
            <w:r>
              <w:t xml:space="preserve"> fe</w:t>
            </w:r>
            <w:r w:rsidRPr="0085369C">
              <w:t>edback tool that supports the fundamental principle that people who use NHS services should have the opportunity to provide feedback on their experience. Listening to the views of patients and staff helps identify what is working well, what can be improved and how.</w:t>
            </w:r>
          </w:p>
          <w:p w:rsidR="00C922A6" w:rsidRPr="0085369C" w:rsidRDefault="00C922A6" w:rsidP="00C922A6">
            <w:pPr>
              <w:cnfStyle w:val="000000000000" w:firstRow="0" w:lastRow="0" w:firstColumn="0" w:lastColumn="0" w:oddVBand="0" w:evenVBand="0" w:oddHBand="0" w:evenHBand="0" w:firstRowFirstColumn="0" w:firstRowLastColumn="0" w:lastRowFirstColumn="0" w:lastRowLastColumn="0"/>
            </w:pPr>
            <w:r w:rsidRPr="0085369C">
              <w:t>The FFT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p>
        </w:tc>
      </w:tr>
      <w:tr w:rsidR="00D527F5" w:rsidRPr="00716A64"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527F5" w:rsidRDefault="00D527F5" w:rsidP="00C922A6">
            <w:pPr>
              <w:spacing w:before="0" w:after="0"/>
            </w:pPr>
            <w:r>
              <w:t>Make Every Contact Count (MECC)</w:t>
            </w:r>
          </w:p>
        </w:tc>
        <w:tc>
          <w:tcPr>
            <w:tcW w:w="6911" w:type="dxa"/>
          </w:tcPr>
          <w:p w:rsidR="00D527F5" w:rsidRPr="00D527F5" w:rsidRDefault="00D527F5" w:rsidP="00716A64">
            <w:pPr>
              <w:cnfStyle w:val="000000100000" w:firstRow="0" w:lastRow="0" w:firstColumn="0" w:lastColumn="0" w:oddVBand="0" w:evenVBand="0" w:oddHBand="1" w:evenHBand="0" w:firstRowFirstColumn="0" w:firstRowLastColumn="0" w:lastRowFirstColumn="0" w:lastRowLastColumn="0"/>
              <w:rPr>
                <w:rFonts w:cs="Arial"/>
                <w:szCs w:val="22"/>
              </w:rPr>
            </w:pPr>
            <w:r w:rsidRPr="00D527F5">
              <w:rPr>
                <w:rFonts w:cs="Arial"/>
                <w:szCs w:val="22"/>
                <w:shd w:val="clear" w:color="auto" w:fill="FFFFFF"/>
              </w:rPr>
              <w:t>Making changes such as stopping smoking, improving diet, increasing physical activity, losing weight and reducing alcohol consumption can help people to reduce their risk of poor health significantly. Making every contact count (MECC) is an approach to behaviour change that utilises the millions of day to day interactions that organisations and people have with other people to encourage changes in behaviour that have a positive effect on the health and wellbeing of individuals, communities and populations.</w:t>
            </w:r>
          </w:p>
        </w:tc>
      </w:tr>
      <w:tr w:rsidR="00716A64" w:rsidRPr="00716A64" w:rsidTr="00245487">
        <w:tc>
          <w:tcPr>
            <w:cnfStyle w:val="001000000000" w:firstRow="0" w:lastRow="0" w:firstColumn="1" w:lastColumn="0" w:oddVBand="0" w:evenVBand="0" w:oddHBand="0" w:evenHBand="0" w:firstRowFirstColumn="0" w:firstRowLastColumn="0" w:lastRowFirstColumn="0" w:lastRowLastColumn="0"/>
            <w:tcW w:w="2943" w:type="dxa"/>
          </w:tcPr>
          <w:p w:rsidR="00716A64" w:rsidRPr="0085369C" w:rsidRDefault="00716A64" w:rsidP="00C922A6">
            <w:pPr>
              <w:spacing w:before="0" w:after="0"/>
            </w:pPr>
            <w:r>
              <w:t>NHS England’s Information Standard</w:t>
            </w:r>
          </w:p>
        </w:tc>
        <w:tc>
          <w:tcPr>
            <w:tcW w:w="6911" w:type="dxa"/>
          </w:tcPr>
          <w:p w:rsidR="00716A64" w:rsidRPr="00716A64" w:rsidRDefault="00716A64" w:rsidP="00716A64">
            <w:pPr>
              <w:cnfStyle w:val="000000000000" w:firstRow="0" w:lastRow="0" w:firstColumn="0" w:lastColumn="0" w:oddVBand="0" w:evenVBand="0" w:oddHBand="0" w:evenHBand="0" w:firstRowFirstColumn="0" w:firstRowLastColumn="0" w:lastRowFirstColumn="0" w:lastRowLastColumn="0"/>
            </w:pPr>
            <w:r w:rsidRPr="00716A64">
              <w:t xml:space="preserve">The Information Standard is a quality standard that supports the production of high quality information by organisations having a robust information production process based on best practice to ensure that information it produces meets the needs of its </w:t>
            </w:r>
            <w:r>
              <w:t>patients</w:t>
            </w:r>
            <w:r w:rsidRPr="00716A64">
              <w:t>.</w:t>
            </w:r>
          </w:p>
        </w:tc>
      </w:tr>
      <w:tr w:rsidR="00C922A6"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922A6" w:rsidRDefault="00C922A6" w:rsidP="00C922A6">
            <w:pPr>
              <w:spacing w:before="0" w:after="0"/>
            </w:pPr>
            <w:r w:rsidRPr="0085369C">
              <w:t>Patient and Public Involvement</w:t>
            </w:r>
            <w:r>
              <w:t xml:space="preserve"> </w:t>
            </w:r>
          </w:p>
          <w:p w:rsidR="00C922A6" w:rsidRDefault="00C922A6" w:rsidP="00C922A6">
            <w:pPr>
              <w:spacing w:before="0" w:after="0"/>
              <w:rPr>
                <w:rFonts w:cs="Arial"/>
                <w:szCs w:val="22"/>
              </w:rPr>
            </w:pPr>
            <w:r>
              <w:t>(</w:t>
            </w:r>
            <w:r>
              <w:rPr>
                <w:rFonts w:cs="Arial"/>
                <w:szCs w:val="22"/>
              </w:rPr>
              <w:t>PPI)</w:t>
            </w:r>
          </w:p>
        </w:tc>
        <w:tc>
          <w:tcPr>
            <w:tcW w:w="6911" w:type="dxa"/>
          </w:tcPr>
          <w:p w:rsidR="00C922A6" w:rsidRPr="0085369C" w:rsidRDefault="00C922A6" w:rsidP="00C922A6">
            <w:pPr>
              <w:cnfStyle w:val="000000100000" w:firstRow="0" w:lastRow="0" w:firstColumn="0" w:lastColumn="0" w:oddVBand="0" w:evenVBand="0" w:oddHBand="1" w:evenHBand="0" w:firstRowFirstColumn="0" w:firstRowLastColumn="0" w:lastRowFirstColumn="0" w:lastRowLastColumn="0"/>
            </w:pPr>
            <w:r w:rsidRPr="00C922A6">
              <w:t>Patient and Public Involvement</w:t>
            </w:r>
            <w:r>
              <w:t xml:space="preserve"> is </w:t>
            </w:r>
            <w:r w:rsidRPr="0085369C">
              <w:t>the way</w:t>
            </w:r>
            <w:r w:rsidR="00DE79A2">
              <w:t xml:space="preserve"> in which patients, the public </w:t>
            </w:r>
            <w:r w:rsidRPr="0085369C">
              <w:t>and carers can:</w:t>
            </w:r>
          </w:p>
          <w:p w:rsidR="00C922A6" w:rsidRPr="0085369C" w:rsidRDefault="00C922A6" w:rsidP="00C922A6">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85369C">
              <w:t>Influence their own care and treatment</w:t>
            </w:r>
          </w:p>
          <w:p w:rsidR="00C922A6" w:rsidRPr="0085369C" w:rsidRDefault="00C922A6" w:rsidP="00C922A6">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85369C">
              <w:t>Have a say in the way services are planned and run</w:t>
            </w:r>
          </w:p>
          <w:p w:rsidR="00C922A6" w:rsidRPr="0085369C" w:rsidRDefault="00C922A6" w:rsidP="00C922A6">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rsidRPr="0085369C">
              <w:t>Help bring about improvements to the way care is provided.</w:t>
            </w:r>
          </w:p>
        </w:tc>
      </w:tr>
      <w:tr w:rsidR="00C922A6" w:rsidTr="00245487">
        <w:tc>
          <w:tcPr>
            <w:cnfStyle w:val="001000000000" w:firstRow="0" w:lastRow="0" w:firstColumn="1" w:lastColumn="0" w:oddVBand="0" w:evenVBand="0" w:oddHBand="0" w:evenHBand="0" w:firstRowFirstColumn="0" w:firstRowLastColumn="0" w:lastRowFirstColumn="0" w:lastRowLastColumn="0"/>
            <w:tcW w:w="2943" w:type="dxa"/>
          </w:tcPr>
          <w:p w:rsidR="00C922A6" w:rsidRDefault="00C922A6" w:rsidP="00C922A6">
            <w:r w:rsidRPr="0085369C">
              <w:lastRenderedPageBreak/>
              <w:t>Patient and Public Involvement Group</w:t>
            </w:r>
          </w:p>
          <w:p w:rsidR="00C922A6" w:rsidRPr="0085369C" w:rsidRDefault="00C922A6" w:rsidP="00C922A6">
            <w:r>
              <w:t>(PPIG)</w:t>
            </w:r>
          </w:p>
        </w:tc>
        <w:tc>
          <w:tcPr>
            <w:tcW w:w="6911" w:type="dxa"/>
          </w:tcPr>
          <w:p w:rsidR="00C922A6" w:rsidRDefault="00C922A6" w:rsidP="00C922A6">
            <w:pPr>
              <w:spacing w:before="0"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A hospital-based forum that provides</w:t>
            </w:r>
            <w:r w:rsidRPr="00AF7CC0">
              <w:rPr>
                <w:rFonts w:cs="Arial"/>
                <w:szCs w:val="22"/>
              </w:rPr>
              <w:t xml:space="preserve"> peer support to understand patient and public experience</w:t>
            </w:r>
            <w:r>
              <w:rPr>
                <w:rFonts w:cs="Arial"/>
                <w:szCs w:val="22"/>
              </w:rPr>
              <w:t xml:space="preserve"> throughout the hospital.  Supports trust staff to ensure r</w:t>
            </w:r>
            <w:r w:rsidRPr="00AF7CC0">
              <w:rPr>
                <w:rFonts w:cs="Arial"/>
                <w:szCs w:val="22"/>
              </w:rPr>
              <w:t>obust standards are met</w:t>
            </w:r>
            <w:r>
              <w:rPr>
                <w:rFonts w:cs="Arial"/>
                <w:szCs w:val="22"/>
              </w:rPr>
              <w:t xml:space="preserve"> when involving patients in improvement projects</w:t>
            </w:r>
          </w:p>
        </w:tc>
      </w:tr>
      <w:tr w:rsidR="0085369C"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922A6" w:rsidRDefault="00C922A6" w:rsidP="00C922A6">
            <w:pPr>
              <w:spacing w:before="0" w:after="0"/>
            </w:pPr>
            <w:r w:rsidRPr="0085369C">
              <w:t xml:space="preserve">Patient Advice and Liaison Service </w:t>
            </w:r>
          </w:p>
          <w:p w:rsidR="0085369C" w:rsidRDefault="00C922A6" w:rsidP="00C922A6">
            <w:pPr>
              <w:spacing w:before="0" w:after="0"/>
              <w:rPr>
                <w:rFonts w:cs="Arial"/>
                <w:szCs w:val="22"/>
              </w:rPr>
            </w:pPr>
            <w:r>
              <w:t>(</w:t>
            </w:r>
            <w:r w:rsidR="0085369C">
              <w:rPr>
                <w:rFonts w:cs="Arial"/>
                <w:szCs w:val="22"/>
              </w:rPr>
              <w:t>PALS</w:t>
            </w:r>
            <w:r>
              <w:rPr>
                <w:rFonts w:cs="Arial"/>
                <w:szCs w:val="22"/>
              </w:rPr>
              <w:t>)</w:t>
            </w:r>
          </w:p>
        </w:tc>
        <w:tc>
          <w:tcPr>
            <w:tcW w:w="6911" w:type="dxa"/>
          </w:tcPr>
          <w:p w:rsidR="0085369C" w:rsidRPr="0085369C" w:rsidRDefault="00C922A6" w:rsidP="00C922A6">
            <w:pPr>
              <w:cnfStyle w:val="000000100000" w:firstRow="0" w:lastRow="0" w:firstColumn="0" w:lastColumn="0" w:oddVBand="0" w:evenVBand="0" w:oddHBand="1" w:evenHBand="0" w:firstRowFirstColumn="0" w:firstRowLastColumn="0" w:lastRowFirstColumn="0" w:lastRowLastColumn="0"/>
            </w:pPr>
            <w:r>
              <w:t>The</w:t>
            </w:r>
            <w:r w:rsidR="0085369C">
              <w:t xml:space="preserve"> </w:t>
            </w:r>
            <w:r w:rsidR="0085369C" w:rsidRPr="0085369C">
              <w:t xml:space="preserve">Patient Advice and Liaison Service (PALS) </w:t>
            </w:r>
            <w:proofErr w:type="gramStart"/>
            <w:r w:rsidR="0085369C" w:rsidRPr="0085369C">
              <w:t>offers</w:t>
            </w:r>
            <w:proofErr w:type="gramEnd"/>
            <w:r w:rsidR="0085369C" w:rsidRPr="0085369C">
              <w:t xml:space="preserve"> confidential advice, support and information on health-related matters. They provide a point of contact for patients, their families and their </w:t>
            </w:r>
            <w:proofErr w:type="spellStart"/>
            <w:r w:rsidR="0085369C" w:rsidRPr="0085369C">
              <w:t>carers</w:t>
            </w:r>
            <w:proofErr w:type="spellEnd"/>
            <w:r w:rsidR="0085369C" w:rsidRPr="0085369C">
              <w:t>.</w:t>
            </w:r>
            <w:r w:rsidR="0085369C">
              <w:t xml:space="preserve">  A PALS office can be found in all NHS hospitals</w:t>
            </w:r>
          </w:p>
        </w:tc>
      </w:tr>
      <w:tr w:rsidR="00716A64" w:rsidTr="00245487">
        <w:tc>
          <w:tcPr>
            <w:cnfStyle w:val="001000000000" w:firstRow="0" w:lastRow="0" w:firstColumn="1" w:lastColumn="0" w:oddVBand="0" w:evenVBand="0" w:oddHBand="0" w:evenHBand="0" w:firstRowFirstColumn="0" w:firstRowLastColumn="0" w:lastRowFirstColumn="0" w:lastRowLastColumn="0"/>
            <w:tcW w:w="2943" w:type="dxa"/>
          </w:tcPr>
          <w:p w:rsidR="00716A64" w:rsidRDefault="00716A64" w:rsidP="00C922A6">
            <w:pPr>
              <w:spacing w:before="0" w:after="0"/>
            </w:pPr>
            <w:r>
              <w:t>Patient Experience Boards</w:t>
            </w:r>
          </w:p>
        </w:tc>
        <w:tc>
          <w:tcPr>
            <w:tcW w:w="6911" w:type="dxa"/>
          </w:tcPr>
          <w:p w:rsidR="00716A64" w:rsidRDefault="00716A64" w:rsidP="00C922A6">
            <w:pPr>
              <w:cnfStyle w:val="000000000000" w:firstRow="0" w:lastRow="0" w:firstColumn="0" w:lastColumn="0" w:oddVBand="0" w:evenVBand="0" w:oddHBand="0" w:evenHBand="0" w:firstRowFirstColumn="0" w:firstRowLastColumn="0" w:lastRowFirstColumn="0" w:lastRowLastColumn="0"/>
            </w:pPr>
            <w:r>
              <w:t>Patient Experience Boards are sited outside each ward across the Trust.  They show key quality metrics at a glance and include how feedback from patients has been used to improve the service.</w:t>
            </w:r>
          </w:p>
        </w:tc>
      </w:tr>
      <w:tr w:rsidR="00C922A6"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922A6" w:rsidRPr="00A01344" w:rsidRDefault="00C922A6" w:rsidP="00C922A6">
            <w:pPr>
              <w:spacing w:before="0" w:after="0"/>
            </w:pPr>
            <w:r>
              <w:t>Salisbury NHS Foundation Trust’s App</w:t>
            </w:r>
          </w:p>
        </w:tc>
        <w:tc>
          <w:tcPr>
            <w:tcW w:w="6911" w:type="dxa"/>
          </w:tcPr>
          <w:p w:rsidR="00C922A6" w:rsidRPr="00A01344" w:rsidRDefault="00C922A6" w:rsidP="00C922A6">
            <w:pPr>
              <w:cnfStyle w:val="000000100000" w:firstRow="0" w:lastRow="0" w:firstColumn="0" w:lastColumn="0" w:oddVBand="0" w:evenVBand="0" w:oddHBand="1" w:evenHBand="0" w:firstRowFirstColumn="0" w:firstRowLastColumn="0" w:lastRowFirstColumn="0" w:lastRowLastColumn="0"/>
            </w:pPr>
            <w:r>
              <w:t>An app developed initially to facilitate online feedback but developed to include wayfinding and news about the hospital.</w:t>
            </w:r>
          </w:p>
        </w:tc>
      </w:tr>
      <w:tr w:rsidR="00C922A6" w:rsidTr="00245487">
        <w:tc>
          <w:tcPr>
            <w:cnfStyle w:val="001000000000" w:firstRow="0" w:lastRow="0" w:firstColumn="1" w:lastColumn="0" w:oddVBand="0" w:evenVBand="0" w:oddHBand="0" w:evenHBand="0" w:firstRowFirstColumn="0" w:firstRowLastColumn="0" w:lastRowFirstColumn="0" w:lastRowLastColumn="0"/>
            <w:tcW w:w="2943" w:type="dxa"/>
          </w:tcPr>
          <w:p w:rsidR="00C922A6" w:rsidRDefault="00C922A6" w:rsidP="00C922A6">
            <w:pPr>
              <w:spacing w:before="0" w:after="0"/>
            </w:pPr>
            <w:r>
              <w:rPr>
                <w:rFonts w:cs="Arial"/>
                <w:szCs w:val="22"/>
              </w:rPr>
              <w:t>PPI toolkit</w:t>
            </w:r>
          </w:p>
        </w:tc>
        <w:tc>
          <w:tcPr>
            <w:tcW w:w="6911" w:type="dxa"/>
          </w:tcPr>
          <w:p w:rsidR="00C922A6" w:rsidRDefault="00C922A6" w:rsidP="00C922A6">
            <w:pPr>
              <w:cnfStyle w:val="000000000000" w:firstRow="0" w:lastRow="0" w:firstColumn="0" w:lastColumn="0" w:oddVBand="0" w:evenVBand="0" w:oddHBand="0" w:evenHBand="0" w:firstRowFirstColumn="0" w:firstRowLastColumn="0" w:lastRowFirstColumn="0" w:lastRowLastColumn="0"/>
            </w:pPr>
            <w:r>
              <w:t>A ‘how-to guide’ for staff wanting to involve patients in improvement work</w:t>
            </w:r>
          </w:p>
        </w:tc>
      </w:tr>
      <w:tr w:rsidR="0085369C" w:rsidTr="0024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5369C" w:rsidRDefault="00A01344" w:rsidP="00C922A6">
            <w:pPr>
              <w:spacing w:before="0" w:after="0"/>
              <w:rPr>
                <w:rFonts w:cs="Arial"/>
                <w:szCs w:val="22"/>
              </w:rPr>
            </w:pPr>
            <w:r w:rsidRPr="00A01344">
              <w:t>Trust Board</w:t>
            </w:r>
          </w:p>
        </w:tc>
        <w:tc>
          <w:tcPr>
            <w:tcW w:w="6911" w:type="dxa"/>
          </w:tcPr>
          <w:p w:rsidR="0085369C" w:rsidRPr="00A01344" w:rsidRDefault="00A01344" w:rsidP="00C922A6">
            <w:pPr>
              <w:cnfStyle w:val="000000100000" w:firstRow="0" w:lastRow="0" w:firstColumn="0" w:lastColumn="0" w:oddVBand="0" w:evenVBand="0" w:oddHBand="1" w:evenHBand="0" w:firstRowFirstColumn="0" w:firstRowLastColumn="0" w:lastRowFirstColumn="0" w:lastRowLastColumn="0"/>
            </w:pPr>
            <w:r w:rsidRPr="00A01344">
              <w:t xml:space="preserve">The Trust Board is the statutory authority, which sets the overall strategy for the Trust and monitors performance. The Trust has eight </w:t>
            </w:r>
            <w:r w:rsidR="00C922A6">
              <w:t>n</w:t>
            </w:r>
            <w:r w:rsidRPr="00A01344">
              <w:t>on-</w:t>
            </w:r>
            <w:r w:rsidR="00C922A6">
              <w:t>e</w:t>
            </w:r>
            <w:r w:rsidRPr="00A01344">
              <w:t xml:space="preserve">xecutive </w:t>
            </w:r>
            <w:r w:rsidR="00C922A6">
              <w:t>d</w:t>
            </w:r>
            <w:r w:rsidRPr="00A01344">
              <w:t xml:space="preserve">irectors, including the Chairman, and six </w:t>
            </w:r>
            <w:r w:rsidR="00C922A6">
              <w:t>e</w:t>
            </w:r>
            <w:r w:rsidRPr="00A01344">
              <w:t xml:space="preserve">xecutive </w:t>
            </w:r>
            <w:r w:rsidR="00C922A6">
              <w:t>d</w:t>
            </w:r>
            <w:r w:rsidRPr="00A01344">
              <w:t>irectors. Non-</w:t>
            </w:r>
            <w:r w:rsidR="00C922A6">
              <w:t>e</w:t>
            </w:r>
            <w:r w:rsidRPr="00A01344">
              <w:t xml:space="preserve">xecutive </w:t>
            </w:r>
            <w:r w:rsidR="00C922A6">
              <w:t>d</w:t>
            </w:r>
            <w:r w:rsidR="00C922A6" w:rsidRPr="00A01344">
              <w:t>irectors</w:t>
            </w:r>
            <w:r w:rsidRPr="00A01344">
              <w:t xml:space="preserve"> bring an independent view to the decision making process of the Board.</w:t>
            </w:r>
          </w:p>
        </w:tc>
      </w:tr>
    </w:tbl>
    <w:p w:rsidR="0085369C" w:rsidRDefault="0085369C">
      <w:pPr>
        <w:spacing w:before="0" w:after="0"/>
        <w:rPr>
          <w:rFonts w:cs="Arial"/>
          <w:szCs w:val="22"/>
        </w:rPr>
      </w:pPr>
    </w:p>
    <w:p w:rsidR="0085369C" w:rsidRPr="0085369C" w:rsidRDefault="0085369C" w:rsidP="0085369C"/>
    <w:p w:rsidR="004B08CD" w:rsidRPr="0085369C" w:rsidRDefault="0085369C" w:rsidP="0085369C">
      <w:r w:rsidRPr="0085369C">
        <w:tab/>
      </w:r>
      <w:r w:rsidR="004B08CD" w:rsidRPr="0085369C">
        <w:br w:type="page"/>
      </w:r>
    </w:p>
    <w:p w:rsidR="00130D9C" w:rsidRPr="00AF7CC0" w:rsidRDefault="00130D9C">
      <w:pPr>
        <w:rPr>
          <w:rFonts w:cs="Arial"/>
          <w:szCs w:val="22"/>
        </w:rPr>
      </w:pPr>
    </w:p>
    <w:sectPr w:rsidR="00130D9C" w:rsidRPr="00AF7CC0" w:rsidSect="00AF7CC0">
      <w:footerReference w:type="default" r:id="rId18"/>
      <w:headerReference w:type="first" r:id="rId19"/>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9C" w:rsidRDefault="006F4C9C" w:rsidP="00286035">
      <w:r>
        <w:separator/>
      </w:r>
    </w:p>
  </w:endnote>
  <w:endnote w:type="continuationSeparator" w:id="0">
    <w:p w:rsidR="006F4C9C" w:rsidRDefault="006F4C9C" w:rsidP="00286035">
      <w:r>
        <w:continuationSeparator/>
      </w:r>
    </w:p>
  </w:endnote>
  <w:endnote w:id="1">
    <w:p w:rsidR="00BA0117" w:rsidRDefault="00BA0117">
      <w:pPr>
        <w:pStyle w:val="EndnoteText"/>
      </w:pPr>
      <w:r>
        <w:rPr>
          <w:rStyle w:val="EndnoteReference"/>
        </w:rPr>
        <w:endnoteRef/>
      </w:r>
      <w:r>
        <w:t xml:space="preserve"> </w:t>
      </w:r>
      <w:proofErr w:type="spellStart"/>
      <w:proofErr w:type="gramStart"/>
      <w:r>
        <w:t>ArtCare</w:t>
      </w:r>
      <w:proofErr w:type="spellEnd"/>
      <w:r>
        <w:t xml:space="preserve"> projects.</w:t>
      </w:r>
      <w:proofErr w:type="gramEnd"/>
      <w:r>
        <w:t xml:space="preserve"> </w:t>
      </w:r>
      <w:proofErr w:type="gramStart"/>
      <w:r>
        <w:t>Salisbury NHS Foundation Trust.</w:t>
      </w:r>
      <w:proofErr w:type="gramEnd"/>
      <w:r>
        <w:t xml:space="preserve">  Available at: </w:t>
      </w:r>
      <w:hyperlink r:id="rId1" w:history="1">
        <w:r w:rsidRPr="009E0CCE">
          <w:rPr>
            <w:rStyle w:val="Hyperlink"/>
          </w:rPr>
          <w:t>http://www.artcare.salisbury.nhs.uk/projects.htm</w:t>
        </w:r>
      </w:hyperlink>
      <w:r>
        <w:t xml:space="preserve"> </w:t>
      </w:r>
    </w:p>
  </w:endnote>
  <w:endnote w:id="2">
    <w:p w:rsidR="00244983" w:rsidRDefault="00244983">
      <w:pPr>
        <w:pStyle w:val="EndnoteText"/>
      </w:pPr>
      <w:r>
        <w:rPr>
          <w:rStyle w:val="EndnoteReference"/>
        </w:rPr>
        <w:endnoteRef/>
      </w:r>
      <w:r>
        <w:t xml:space="preserve"> </w:t>
      </w:r>
      <w:proofErr w:type="gramStart"/>
      <w:r>
        <w:t>The Information Standard.</w:t>
      </w:r>
      <w:proofErr w:type="gramEnd"/>
      <w:r>
        <w:t xml:space="preserve">  NHS England.  Available at: </w:t>
      </w:r>
      <w:hyperlink r:id="rId2" w:history="1">
        <w:r w:rsidRPr="009E0CCE">
          <w:rPr>
            <w:rStyle w:val="Hyperlink"/>
          </w:rPr>
          <w:t>https://www.england.nhs.uk/tis/</w:t>
        </w:r>
      </w:hyperlink>
      <w:r>
        <w:t xml:space="preserve"> </w:t>
      </w:r>
    </w:p>
  </w:endnote>
  <w:endnote w:id="3">
    <w:p w:rsidR="00EF38DE" w:rsidRDefault="00EF38DE">
      <w:pPr>
        <w:pStyle w:val="EndnoteText"/>
      </w:pPr>
      <w:r>
        <w:rPr>
          <w:rStyle w:val="EndnoteReference"/>
        </w:rPr>
        <w:endnoteRef/>
      </w:r>
      <w:r>
        <w:t xml:space="preserve"> </w:t>
      </w:r>
      <w:proofErr w:type="gramStart"/>
      <w:r>
        <w:t>Making Every Contact Count.</w:t>
      </w:r>
      <w:proofErr w:type="gramEnd"/>
      <w:r>
        <w:t xml:space="preserve"> </w:t>
      </w:r>
      <w:proofErr w:type="gramStart"/>
      <w:r>
        <w:t>Health Education England.</w:t>
      </w:r>
      <w:proofErr w:type="gramEnd"/>
      <w:r>
        <w:t xml:space="preserve"> Available at: </w:t>
      </w:r>
      <w:hyperlink r:id="rId3" w:history="1">
        <w:r w:rsidRPr="00193EF1">
          <w:rPr>
            <w:rStyle w:val="Hyperlink"/>
          </w:rPr>
          <w:t>https://www.makingeverycontactcount.co.uk/</w:t>
        </w:r>
      </w:hyperlink>
      <w:r>
        <w:t xml:space="preserve"> </w:t>
      </w:r>
    </w:p>
  </w:endnote>
  <w:endnote w:id="4">
    <w:p w:rsidR="003A3A2B" w:rsidRDefault="003A3A2B">
      <w:pPr>
        <w:pStyle w:val="EndnoteText"/>
      </w:pPr>
      <w:r>
        <w:rPr>
          <w:rStyle w:val="EndnoteReference"/>
        </w:rPr>
        <w:endnoteRef/>
      </w:r>
      <w:r>
        <w:t xml:space="preserve"> </w:t>
      </w:r>
      <w:proofErr w:type="gramStart"/>
      <w:r>
        <w:t>The NHS Long Term Plan.</w:t>
      </w:r>
      <w:proofErr w:type="gramEnd"/>
      <w:r>
        <w:t xml:space="preserve"> (January 2019) Available at: </w:t>
      </w:r>
      <w:hyperlink r:id="rId4" w:history="1">
        <w:r w:rsidRPr="00193EF1">
          <w:rPr>
            <w:rStyle w:val="Hyperlink"/>
          </w:rPr>
          <w:t>https://www.longtermplan.nhs.uk/wp-content/uploads/2019/01/nhs-long-term-plan.pdf</w:t>
        </w:r>
      </w:hyperlink>
      <w:r>
        <w:t xml:space="preserve"> </w:t>
      </w:r>
    </w:p>
  </w:endnote>
  <w:endnote w:id="5">
    <w:p w:rsidR="00A01344" w:rsidRDefault="00A01344" w:rsidP="00A01344">
      <w:pPr>
        <w:pStyle w:val="EndnoteText"/>
      </w:pPr>
      <w:r>
        <w:rPr>
          <w:rStyle w:val="EndnoteReference"/>
        </w:rPr>
        <w:endnoteRef/>
      </w:r>
      <w:r>
        <w:t xml:space="preserve"> Equity and excellence: liberating the NHS. (July 2010) </w:t>
      </w:r>
      <w:proofErr w:type="gramStart"/>
      <w:r>
        <w:t>Department of Health.</w:t>
      </w:r>
      <w:proofErr w:type="gramEnd"/>
      <w:r>
        <w:t xml:space="preserve">  Available at </w:t>
      </w:r>
      <w:hyperlink r:id="rId5" w:history="1">
        <w:r w:rsidRPr="009E0CCE">
          <w:rPr>
            <w:rStyle w:val="Hyperlink"/>
          </w:rPr>
          <w:t>https://assets.publishing.service.gov.uk/government/uploads/system/uploads/attachment_data/file/213823/dh_117794.pdf</w:t>
        </w:r>
      </w:hyperlink>
      <w:r>
        <w:t xml:space="preserve"> </w:t>
      </w:r>
    </w:p>
  </w:endnote>
  <w:endnote w:id="6">
    <w:p w:rsidR="00A01344" w:rsidRDefault="00A01344" w:rsidP="00A01344">
      <w:pPr>
        <w:pStyle w:val="EndnoteText"/>
      </w:pPr>
      <w:r>
        <w:rPr>
          <w:rStyle w:val="EndnoteReference"/>
        </w:rPr>
        <w:endnoteRef/>
      </w:r>
      <w:r>
        <w:t xml:space="preserve"> </w:t>
      </w:r>
      <w:proofErr w:type="gramStart"/>
      <w:r>
        <w:t>Patient experience in adult NHS Services.</w:t>
      </w:r>
      <w:proofErr w:type="gramEnd"/>
      <w:r>
        <w:t xml:space="preserve">  Quality Standard [QS 15] (February 2012).  </w:t>
      </w:r>
      <w:proofErr w:type="gramStart"/>
      <w:r>
        <w:t>National Institute for Health and Clinical Excellence.</w:t>
      </w:r>
      <w:proofErr w:type="gramEnd"/>
      <w:r>
        <w:t xml:space="preserve">  Available at: </w:t>
      </w:r>
      <w:hyperlink r:id="rId6" w:history="1">
        <w:r w:rsidRPr="009E0CCE">
          <w:rPr>
            <w:rStyle w:val="Hyperlink"/>
          </w:rPr>
          <w:t>https://www.nice.org.uk/guidance/qs15</w:t>
        </w:r>
      </w:hyperlink>
      <w:r>
        <w:t xml:space="preserve"> </w:t>
      </w:r>
    </w:p>
  </w:endnote>
  <w:endnote w:id="7">
    <w:p w:rsidR="00A01344" w:rsidRDefault="00A01344" w:rsidP="00A01344">
      <w:pPr>
        <w:pStyle w:val="EndnoteText"/>
      </w:pPr>
      <w:r>
        <w:rPr>
          <w:rStyle w:val="EndnoteReference"/>
        </w:rPr>
        <w:endnoteRef/>
      </w:r>
      <w:r>
        <w:t xml:space="preserve"> High Quality Care for All – NHS Next Stage Review Final Report (June 2008). </w:t>
      </w:r>
      <w:proofErr w:type="gramStart"/>
      <w:r>
        <w:t>Department of Health.</w:t>
      </w:r>
      <w:proofErr w:type="gramEnd"/>
      <w:r>
        <w:t xml:space="preserve">  Available at: </w:t>
      </w:r>
      <w:hyperlink r:id="rId7" w:history="1">
        <w:r w:rsidRPr="009E0CCE">
          <w:rPr>
            <w:rStyle w:val="Hyperlink"/>
          </w:rPr>
          <w:t>https://www.gov.uk/government/publications/high-quality-care-for-all-nhs-next-stage-review-final-report</w:t>
        </w:r>
      </w:hyperlink>
      <w:r>
        <w:t xml:space="preserve"> </w:t>
      </w:r>
    </w:p>
  </w:endnote>
  <w:endnote w:id="8">
    <w:p w:rsidR="00A01344" w:rsidRDefault="00A01344" w:rsidP="00A01344">
      <w:pPr>
        <w:pStyle w:val="EndnoteText"/>
      </w:pPr>
      <w:r>
        <w:rPr>
          <w:rStyle w:val="EndnoteReference"/>
        </w:rPr>
        <w:endnoteRef/>
      </w:r>
      <w:r>
        <w:t xml:space="preserve"> The NHS Constitution – the NHS belongs to us all (July 2015) NHS England.  Available at: </w:t>
      </w:r>
      <w:hyperlink r:id="rId8" w:history="1">
        <w:r w:rsidRPr="009E0CCE">
          <w:rPr>
            <w:rStyle w:val="Hyperlink"/>
          </w:rPr>
          <w:t>https://www.gov.uk/government/publications/the-nhs-constitution-for-england</w:t>
        </w:r>
      </w:hyperlink>
      <w:r>
        <w:t xml:space="preserve"> </w:t>
      </w:r>
    </w:p>
  </w:endnote>
  <w:endnote w:id="9">
    <w:p w:rsidR="00A01344" w:rsidRDefault="00A01344" w:rsidP="00A01344">
      <w:pPr>
        <w:pStyle w:val="EndnoteText"/>
      </w:pPr>
      <w:r>
        <w:rPr>
          <w:rStyle w:val="EndnoteReference"/>
        </w:rPr>
        <w:endnoteRef/>
      </w:r>
      <w:r>
        <w:t xml:space="preserve"> The NHS Outcomes Framework 2015/16 (Dec 2014). </w:t>
      </w:r>
      <w:proofErr w:type="gramStart"/>
      <w:r>
        <w:t>Department of Health.</w:t>
      </w:r>
      <w:proofErr w:type="gramEnd"/>
      <w:r>
        <w:t xml:space="preserve">  Available at: </w:t>
      </w:r>
      <w:hyperlink r:id="rId9" w:history="1">
        <w:r w:rsidRPr="009E0CCE">
          <w:rPr>
            <w:rStyle w:val="Hyperlink"/>
          </w:rPr>
          <w:t>https://www.gov.uk/government/publications/nhs-outcomes-framework-2015-to-2016</w:t>
        </w:r>
      </w:hyperlink>
      <w:r>
        <w:t xml:space="preserve"> </w:t>
      </w:r>
    </w:p>
  </w:endnote>
  <w:endnote w:id="10">
    <w:p w:rsidR="00A01344" w:rsidRDefault="00A01344" w:rsidP="00A01344">
      <w:pPr>
        <w:pStyle w:val="EndnoteText"/>
      </w:pPr>
      <w:r>
        <w:rPr>
          <w:rStyle w:val="EndnoteReference"/>
        </w:rPr>
        <w:endnoteRef/>
      </w:r>
      <w:r>
        <w:t xml:space="preserve"> </w:t>
      </w:r>
      <w:proofErr w:type="gramStart"/>
      <w:r>
        <w:t>About Quality Accounts.</w:t>
      </w:r>
      <w:proofErr w:type="gramEnd"/>
      <w:r>
        <w:t xml:space="preserve">  Available at: </w:t>
      </w:r>
      <w:hyperlink r:id="rId10" w:history="1">
        <w:r w:rsidRPr="009E0CCE">
          <w:rPr>
            <w:rStyle w:val="Hyperlink"/>
          </w:rPr>
          <w:t>https://www.nhs.uk/using-the-nhs/about-the-nhs/quality-accounts/about-quality-accounts/</w:t>
        </w:r>
      </w:hyperlink>
      <w:r>
        <w:t xml:space="preserve"> </w:t>
      </w:r>
    </w:p>
  </w:endnote>
  <w:endnote w:id="11">
    <w:p w:rsidR="00A01344" w:rsidRDefault="00A01344" w:rsidP="00A01344">
      <w:pPr>
        <w:pStyle w:val="EndnoteText"/>
      </w:pPr>
      <w:r>
        <w:rPr>
          <w:rStyle w:val="EndnoteReference"/>
        </w:rPr>
        <w:endnoteRef/>
      </w:r>
      <w:r>
        <w:t xml:space="preserve"> The Health and Social Care Act (2008) Available at: </w:t>
      </w:r>
      <w:hyperlink r:id="rId11" w:history="1">
        <w:r w:rsidRPr="009E0CCE">
          <w:rPr>
            <w:rStyle w:val="Hyperlink"/>
          </w:rPr>
          <w:t>https://www.legislation.gov.uk/ukpga/2008/14/contents</w:t>
        </w:r>
      </w:hyperlink>
      <w:r>
        <w:t xml:space="preserve"> </w:t>
      </w:r>
    </w:p>
  </w:endnote>
  <w:endnote w:id="12">
    <w:p w:rsidR="00A01344" w:rsidRDefault="00A01344" w:rsidP="00A01344">
      <w:pPr>
        <w:pStyle w:val="EndnoteText"/>
      </w:pPr>
      <w:r>
        <w:rPr>
          <w:rStyle w:val="EndnoteReference"/>
        </w:rPr>
        <w:endnoteRef/>
      </w:r>
      <w:r>
        <w:t xml:space="preserve"> Producing quality patient information (November 2016) The Kings Fund.  Available at: </w:t>
      </w:r>
      <w:hyperlink r:id="rId12" w:history="1">
        <w:r w:rsidRPr="009E0CCE">
          <w:rPr>
            <w:rStyle w:val="Hyperlink"/>
          </w:rPr>
          <w:t>https://www.kingsfund.org.uk/blog/2016/11/producing-quality-patient-information</w:t>
        </w:r>
      </w:hyperlink>
      <w:r>
        <w:t xml:space="preserve"> </w:t>
      </w:r>
    </w:p>
  </w:endnote>
  <w:endnote w:id="13">
    <w:p w:rsidR="00A01344" w:rsidRDefault="00A01344" w:rsidP="00A01344">
      <w:pPr>
        <w:pStyle w:val="EndnoteText"/>
      </w:pPr>
      <w:r>
        <w:rPr>
          <w:rStyle w:val="EndnoteReference"/>
        </w:rPr>
        <w:endnoteRef/>
      </w:r>
      <w:r>
        <w:t xml:space="preserve"> </w:t>
      </w:r>
      <w:proofErr w:type="gramStart"/>
      <w:r>
        <w:t>The Accessible Information Standard.</w:t>
      </w:r>
      <w:proofErr w:type="gramEnd"/>
      <w:r>
        <w:t xml:space="preserve">  </w:t>
      </w:r>
      <w:proofErr w:type="gramStart"/>
      <w:r>
        <w:t>(2017) NHS England.</w:t>
      </w:r>
      <w:proofErr w:type="gramEnd"/>
      <w:r>
        <w:t xml:space="preserve">  Available at: </w:t>
      </w:r>
      <w:hyperlink r:id="rId13" w:history="1">
        <w:r w:rsidRPr="009E0CCE">
          <w:rPr>
            <w:rStyle w:val="Hyperlink"/>
          </w:rPr>
          <w:t>https://www.england.nhs.uk/publication/accessible-information-standard-specification/</w:t>
        </w:r>
      </w:hyperlink>
      <w:r>
        <w:t xml:space="preserve"> </w:t>
      </w:r>
    </w:p>
  </w:endnote>
  <w:endnote w:id="14">
    <w:p w:rsidR="00A01344" w:rsidRDefault="00A01344" w:rsidP="00A01344">
      <w:pPr>
        <w:pStyle w:val="EndnoteText"/>
      </w:pPr>
      <w:r>
        <w:rPr>
          <w:rStyle w:val="EndnoteReference"/>
        </w:rPr>
        <w:endnoteRef/>
      </w:r>
      <w:r>
        <w:t xml:space="preserve"> Community engagement: improving health and wellbeing and reducing health inequalities (March 2016). NICE Guideline 44.  Available at </w:t>
      </w:r>
      <w:r w:rsidRPr="00483336">
        <w:t>https://www.nice.org.uk/guidance/ng44</w:t>
      </w:r>
    </w:p>
  </w:endnote>
  <w:endnote w:id="15">
    <w:p w:rsidR="00A01344" w:rsidRDefault="00A01344" w:rsidP="00A01344">
      <w:pPr>
        <w:pStyle w:val="EndnoteText"/>
      </w:pPr>
      <w:r>
        <w:rPr>
          <w:rStyle w:val="EndnoteReference"/>
        </w:rPr>
        <w:endnoteRef/>
      </w:r>
      <w:r>
        <w:t xml:space="preserve"> </w:t>
      </w:r>
      <w:proofErr w:type="gramStart"/>
      <w:r>
        <w:t>Ladder of engagement.</w:t>
      </w:r>
      <w:proofErr w:type="gramEnd"/>
      <w:r>
        <w:t xml:space="preserve">  NHS England.  Available at: </w:t>
      </w:r>
      <w:hyperlink r:id="rId14" w:history="1">
        <w:r w:rsidRPr="009E0CCE">
          <w:rPr>
            <w:rStyle w:val="Hyperlink"/>
          </w:rPr>
          <w:t>https://www.england.nhs.uk/participation/resources/ladder-of-engagement-2/</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D" w:rsidRDefault="00213A8D" w:rsidP="00ED50AF">
    <w:pPr>
      <w:pStyle w:val="Footer"/>
      <w:rPr>
        <w:rFonts w:cs="Arial"/>
        <w:sz w:val="20"/>
        <w:szCs w:val="20"/>
      </w:rPr>
    </w:pPr>
    <w:r>
      <w:rPr>
        <w:rFonts w:cs="Arial"/>
        <w:sz w:val="20"/>
        <w:szCs w:val="20"/>
      </w:rPr>
      <w:t xml:space="preserve">AUTHOR: </w:t>
    </w:r>
    <w:r w:rsidR="00872B88">
      <w:rPr>
        <w:rFonts w:cs="Arial"/>
        <w:sz w:val="20"/>
        <w:szCs w:val="20"/>
      </w:rPr>
      <w:t>Head of Patient Experience</w:t>
    </w:r>
  </w:p>
  <w:p w:rsidR="00213A8D" w:rsidRDefault="0085369C" w:rsidP="00ED50AF">
    <w:pPr>
      <w:pStyle w:val="Footer"/>
      <w:rPr>
        <w:rFonts w:cs="Arial"/>
        <w:sz w:val="20"/>
        <w:szCs w:val="20"/>
      </w:rPr>
    </w:pPr>
    <w:r>
      <w:rPr>
        <w:rFonts w:cs="Arial"/>
        <w:sz w:val="20"/>
        <w:szCs w:val="20"/>
      </w:rPr>
      <w:t>February</w:t>
    </w:r>
    <w:r w:rsidR="00872B88">
      <w:rPr>
        <w:rFonts w:cs="Arial"/>
        <w:sz w:val="20"/>
        <w:szCs w:val="20"/>
      </w:rPr>
      <w:t xml:space="preserve"> 2019</w:t>
    </w:r>
    <w:r w:rsidR="00213A8D">
      <w:rPr>
        <w:rFonts w:cs="Arial"/>
        <w:sz w:val="20"/>
        <w:szCs w:val="20"/>
      </w:rPr>
      <w:tab/>
    </w:r>
    <w:r w:rsidR="00213A8D">
      <w:rPr>
        <w:rFonts w:cs="Arial"/>
        <w:sz w:val="20"/>
        <w:szCs w:val="20"/>
      </w:rPr>
      <w:tab/>
    </w:r>
    <w:r w:rsidR="00213A8D" w:rsidRPr="00ED50AF">
      <w:rPr>
        <w:rFonts w:cs="Arial"/>
        <w:sz w:val="20"/>
        <w:szCs w:val="20"/>
      </w:rPr>
      <w:fldChar w:fldCharType="begin"/>
    </w:r>
    <w:r w:rsidR="00213A8D" w:rsidRPr="00ED50AF">
      <w:rPr>
        <w:rFonts w:cs="Arial"/>
        <w:sz w:val="20"/>
        <w:szCs w:val="20"/>
      </w:rPr>
      <w:instrText xml:space="preserve"> PAGE   \* MERGEFORMAT </w:instrText>
    </w:r>
    <w:r w:rsidR="00213A8D" w:rsidRPr="00ED50AF">
      <w:rPr>
        <w:rFonts w:cs="Arial"/>
        <w:sz w:val="20"/>
        <w:szCs w:val="20"/>
      </w:rPr>
      <w:fldChar w:fldCharType="separate"/>
    </w:r>
    <w:r w:rsidR="00507B6C" w:rsidRPr="00507B6C">
      <w:rPr>
        <w:rFonts w:cs="Arial"/>
        <w:b/>
        <w:bCs/>
        <w:noProof/>
        <w:sz w:val="20"/>
        <w:szCs w:val="20"/>
      </w:rPr>
      <w:t>2</w:t>
    </w:r>
    <w:r w:rsidR="00213A8D" w:rsidRPr="00ED50AF">
      <w:rPr>
        <w:rFonts w:cs="Arial"/>
        <w:b/>
        <w:bCs/>
        <w:noProof/>
        <w:sz w:val="20"/>
        <w:szCs w:val="20"/>
      </w:rPr>
      <w:fldChar w:fldCharType="end"/>
    </w:r>
    <w:r w:rsidR="00213A8D" w:rsidRPr="00ED50AF">
      <w:rPr>
        <w:rFonts w:cs="Arial"/>
        <w:b/>
        <w:bCs/>
        <w:sz w:val="20"/>
        <w:szCs w:val="20"/>
      </w:rPr>
      <w:t xml:space="preserve"> </w:t>
    </w:r>
    <w:r w:rsidR="00213A8D" w:rsidRPr="00ED50AF">
      <w:rPr>
        <w:rFonts w:cs="Arial"/>
        <w:sz w:val="20"/>
        <w:szCs w:val="20"/>
      </w:rPr>
      <w:t>|</w:t>
    </w:r>
    <w:r w:rsidR="00213A8D" w:rsidRPr="00ED50AF">
      <w:rPr>
        <w:rFonts w:cs="Arial"/>
        <w:b/>
        <w:bCs/>
        <w:sz w:val="20"/>
        <w:szCs w:val="20"/>
      </w:rPr>
      <w:t xml:space="preserve"> </w:t>
    </w:r>
    <w:r w:rsidR="00213A8D" w:rsidRPr="00ED50AF">
      <w:rPr>
        <w:rFonts w:cs="Arial"/>
        <w:color w:val="808080" w:themeColor="background1" w:themeShade="80"/>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9C" w:rsidRDefault="006F4C9C" w:rsidP="00286035">
      <w:r>
        <w:separator/>
      </w:r>
    </w:p>
  </w:footnote>
  <w:footnote w:type="continuationSeparator" w:id="0">
    <w:p w:rsidR="006F4C9C" w:rsidRDefault="006F4C9C" w:rsidP="0028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29" w:rsidRDefault="00B65D29" w:rsidP="00B65D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0_"/>
      </v:shape>
    </w:pict>
  </w:numPicBullet>
  <w:abstractNum w:abstractNumId="0">
    <w:nsid w:val="038541C2"/>
    <w:multiLevelType w:val="hybridMultilevel"/>
    <w:tmpl w:val="32FA1BAE"/>
    <w:lvl w:ilvl="0" w:tplc="EE02818E">
      <w:numFmt w:val="bullet"/>
      <w:lvlText w:val="-"/>
      <w:lvlPicBulletId w:val="0"/>
      <w:lvlJc w:val="left"/>
      <w:pPr>
        <w:tabs>
          <w:tab w:val="num" w:pos="1440"/>
        </w:tabs>
        <w:ind w:left="1440" w:hanging="360"/>
      </w:pPr>
      <w:rPr>
        <w:rFonts w:ascii="Arial" w:eastAsia="Times New Roman" w:hAnsi="Arial" w:cs="Arial" w:hint="default"/>
        <w:color w:val="auto"/>
        <w:sz w:val="18"/>
        <w:szCs w:val="18"/>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3950B39"/>
    <w:multiLevelType w:val="hybridMultilevel"/>
    <w:tmpl w:val="6388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A3AF1"/>
    <w:multiLevelType w:val="hybridMultilevel"/>
    <w:tmpl w:val="CE2614FC"/>
    <w:lvl w:ilvl="0" w:tplc="08090001">
      <w:start w:val="1"/>
      <w:numFmt w:val="bullet"/>
      <w:lvlText w:val=""/>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08611699"/>
    <w:multiLevelType w:val="multilevel"/>
    <w:tmpl w:val="57B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70FF7"/>
    <w:multiLevelType w:val="hybridMultilevel"/>
    <w:tmpl w:val="53EA9B50"/>
    <w:lvl w:ilvl="0" w:tplc="EE02818E">
      <w:numFmt w:val="bullet"/>
      <w:lvlText w:val="-"/>
      <w:lvlPicBulletId w:val="0"/>
      <w:lvlJc w:val="left"/>
      <w:pPr>
        <w:tabs>
          <w:tab w:val="num" w:pos="360"/>
        </w:tabs>
        <w:ind w:left="360" w:hanging="360"/>
      </w:pPr>
      <w:rPr>
        <w:rFonts w:ascii="Arial" w:eastAsia="Times New Roman" w:hAnsi="Arial" w:cs="Arial" w:hint="default"/>
        <w:color w:val="auto"/>
        <w:sz w:val="18"/>
        <w:szCs w:val="18"/>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1D24188C"/>
    <w:multiLevelType w:val="hybridMultilevel"/>
    <w:tmpl w:val="E55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590A84"/>
    <w:multiLevelType w:val="hybridMultilevel"/>
    <w:tmpl w:val="3DB4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62890"/>
    <w:multiLevelType w:val="hybridMultilevel"/>
    <w:tmpl w:val="914A6DEA"/>
    <w:lvl w:ilvl="0" w:tplc="08090001">
      <w:start w:val="1"/>
      <w:numFmt w:val="bullet"/>
      <w:lvlText w:val=""/>
      <w:lvlJc w:val="left"/>
      <w:pPr>
        <w:tabs>
          <w:tab w:val="num" w:pos="360"/>
        </w:tabs>
        <w:ind w:left="360" w:hanging="360"/>
      </w:pPr>
      <w:rPr>
        <w:rFonts w:ascii="Symbol" w:hAnsi="Symbol" w:hint="default"/>
        <w:color w:val="auto"/>
        <w:sz w:val="18"/>
        <w:szCs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0AE7DB9"/>
    <w:multiLevelType w:val="hybridMultilevel"/>
    <w:tmpl w:val="FC6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42047"/>
    <w:multiLevelType w:val="hybridMultilevel"/>
    <w:tmpl w:val="206A0828"/>
    <w:lvl w:ilvl="0" w:tplc="08090001">
      <w:start w:val="1"/>
      <w:numFmt w:val="bullet"/>
      <w:lvlText w:val=""/>
      <w:lvlJc w:val="left"/>
      <w:pPr>
        <w:ind w:left="720" w:hanging="360"/>
      </w:pPr>
      <w:rPr>
        <w:rFonts w:ascii="Symbol" w:hAnsi="Symbol" w:hint="default"/>
      </w:rPr>
    </w:lvl>
    <w:lvl w:ilvl="1" w:tplc="5A560FA8">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8F7FC0"/>
    <w:multiLevelType w:val="hybridMultilevel"/>
    <w:tmpl w:val="618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533BD"/>
    <w:multiLevelType w:val="hybridMultilevel"/>
    <w:tmpl w:val="430ED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414601"/>
    <w:multiLevelType w:val="hybridMultilevel"/>
    <w:tmpl w:val="BBB6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57B75"/>
    <w:multiLevelType w:val="hybridMultilevel"/>
    <w:tmpl w:val="3208B8C4"/>
    <w:lvl w:ilvl="0" w:tplc="A79E069C">
      <w:start w:val="1"/>
      <w:numFmt w:val="bullet"/>
      <w:lvlText w:val="•"/>
      <w:lvlJc w:val="left"/>
      <w:pPr>
        <w:tabs>
          <w:tab w:val="num" w:pos="720"/>
        </w:tabs>
        <w:ind w:left="720" w:hanging="360"/>
      </w:pPr>
      <w:rPr>
        <w:rFonts w:ascii="Times New Roman" w:hAnsi="Times New Roman" w:hint="default"/>
      </w:rPr>
    </w:lvl>
    <w:lvl w:ilvl="1" w:tplc="FAFE9A1C" w:tentative="1">
      <w:start w:val="1"/>
      <w:numFmt w:val="bullet"/>
      <w:lvlText w:val="•"/>
      <w:lvlJc w:val="left"/>
      <w:pPr>
        <w:tabs>
          <w:tab w:val="num" w:pos="1440"/>
        </w:tabs>
        <w:ind w:left="1440" w:hanging="360"/>
      </w:pPr>
      <w:rPr>
        <w:rFonts w:ascii="Times New Roman" w:hAnsi="Times New Roman" w:hint="default"/>
      </w:rPr>
    </w:lvl>
    <w:lvl w:ilvl="2" w:tplc="8D0C9628" w:tentative="1">
      <w:start w:val="1"/>
      <w:numFmt w:val="bullet"/>
      <w:lvlText w:val="•"/>
      <w:lvlJc w:val="left"/>
      <w:pPr>
        <w:tabs>
          <w:tab w:val="num" w:pos="2160"/>
        </w:tabs>
        <w:ind w:left="2160" w:hanging="360"/>
      </w:pPr>
      <w:rPr>
        <w:rFonts w:ascii="Times New Roman" w:hAnsi="Times New Roman" w:hint="default"/>
      </w:rPr>
    </w:lvl>
    <w:lvl w:ilvl="3" w:tplc="056AED22" w:tentative="1">
      <w:start w:val="1"/>
      <w:numFmt w:val="bullet"/>
      <w:lvlText w:val="•"/>
      <w:lvlJc w:val="left"/>
      <w:pPr>
        <w:tabs>
          <w:tab w:val="num" w:pos="2880"/>
        </w:tabs>
        <w:ind w:left="2880" w:hanging="360"/>
      </w:pPr>
      <w:rPr>
        <w:rFonts w:ascii="Times New Roman" w:hAnsi="Times New Roman" w:hint="default"/>
      </w:rPr>
    </w:lvl>
    <w:lvl w:ilvl="4" w:tplc="D1DEAE54" w:tentative="1">
      <w:start w:val="1"/>
      <w:numFmt w:val="bullet"/>
      <w:lvlText w:val="•"/>
      <w:lvlJc w:val="left"/>
      <w:pPr>
        <w:tabs>
          <w:tab w:val="num" w:pos="3600"/>
        </w:tabs>
        <w:ind w:left="3600" w:hanging="360"/>
      </w:pPr>
      <w:rPr>
        <w:rFonts w:ascii="Times New Roman" w:hAnsi="Times New Roman" w:hint="default"/>
      </w:rPr>
    </w:lvl>
    <w:lvl w:ilvl="5" w:tplc="7C0AFA7A" w:tentative="1">
      <w:start w:val="1"/>
      <w:numFmt w:val="bullet"/>
      <w:lvlText w:val="•"/>
      <w:lvlJc w:val="left"/>
      <w:pPr>
        <w:tabs>
          <w:tab w:val="num" w:pos="4320"/>
        </w:tabs>
        <w:ind w:left="4320" w:hanging="360"/>
      </w:pPr>
      <w:rPr>
        <w:rFonts w:ascii="Times New Roman" w:hAnsi="Times New Roman" w:hint="default"/>
      </w:rPr>
    </w:lvl>
    <w:lvl w:ilvl="6" w:tplc="A05EC544" w:tentative="1">
      <w:start w:val="1"/>
      <w:numFmt w:val="bullet"/>
      <w:lvlText w:val="•"/>
      <w:lvlJc w:val="left"/>
      <w:pPr>
        <w:tabs>
          <w:tab w:val="num" w:pos="5040"/>
        </w:tabs>
        <w:ind w:left="5040" w:hanging="360"/>
      </w:pPr>
      <w:rPr>
        <w:rFonts w:ascii="Times New Roman" w:hAnsi="Times New Roman" w:hint="default"/>
      </w:rPr>
    </w:lvl>
    <w:lvl w:ilvl="7" w:tplc="614E833E" w:tentative="1">
      <w:start w:val="1"/>
      <w:numFmt w:val="bullet"/>
      <w:lvlText w:val="•"/>
      <w:lvlJc w:val="left"/>
      <w:pPr>
        <w:tabs>
          <w:tab w:val="num" w:pos="5760"/>
        </w:tabs>
        <w:ind w:left="5760" w:hanging="360"/>
      </w:pPr>
      <w:rPr>
        <w:rFonts w:ascii="Times New Roman" w:hAnsi="Times New Roman" w:hint="default"/>
      </w:rPr>
    </w:lvl>
    <w:lvl w:ilvl="8" w:tplc="76E4A5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F900EB"/>
    <w:multiLevelType w:val="hybridMultilevel"/>
    <w:tmpl w:val="82104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00057"/>
    <w:multiLevelType w:val="hybridMultilevel"/>
    <w:tmpl w:val="855E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C626CB"/>
    <w:multiLevelType w:val="hybridMultilevel"/>
    <w:tmpl w:val="DC1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054EA"/>
    <w:multiLevelType w:val="hybridMultilevel"/>
    <w:tmpl w:val="93C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4045F8"/>
    <w:multiLevelType w:val="hybridMultilevel"/>
    <w:tmpl w:val="EA4A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4C5AD7"/>
    <w:multiLevelType w:val="multilevel"/>
    <w:tmpl w:val="6AB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6F1407"/>
    <w:multiLevelType w:val="hybridMultilevel"/>
    <w:tmpl w:val="4F3E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96215C"/>
    <w:multiLevelType w:val="hybridMultilevel"/>
    <w:tmpl w:val="20B8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F90199"/>
    <w:multiLevelType w:val="hybridMultilevel"/>
    <w:tmpl w:val="A0EE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6B4968"/>
    <w:multiLevelType w:val="hybridMultilevel"/>
    <w:tmpl w:val="5954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07D75"/>
    <w:multiLevelType w:val="multilevel"/>
    <w:tmpl w:val="81D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2B1660"/>
    <w:multiLevelType w:val="hybridMultilevel"/>
    <w:tmpl w:val="AA8C2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A06C83"/>
    <w:multiLevelType w:val="hybridMultilevel"/>
    <w:tmpl w:val="74A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F53168"/>
    <w:multiLevelType w:val="hybridMultilevel"/>
    <w:tmpl w:val="B1C20E64"/>
    <w:lvl w:ilvl="0" w:tplc="08090001">
      <w:start w:val="1"/>
      <w:numFmt w:val="bullet"/>
      <w:lvlText w:val=""/>
      <w:lvlJc w:val="left"/>
      <w:pPr>
        <w:tabs>
          <w:tab w:val="num" w:pos="720"/>
        </w:tabs>
        <w:ind w:left="720" w:hanging="360"/>
      </w:pPr>
      <w:rPr>
        <w:rFonts w:ascii="Symbol" w:hAnsi="Symbol" w:hint="default"/>
      </w:rPr>
    </w:lvl>
    <w:lvl w:ilvl="1" w:tplc="EE02818E">
      <w:numFmt w:val="bullet"/>
      <w:lvlText w:val="-"/>
      <w:lvlJc w:val="left"/>
      <w:pPr>
        <w:tabs>
          <w:tab w:val="num" w:pos="1800"/>
        </w:tabs>
        <w:ind w:left="1800" w:hanging="720"/>
      </w:pPr>
      <w:rPr>
        <w:rFonts w:ascii="Arial" w:eastAsia="Times New Roman" w:hAnsi="Arial" w:cs="Arial" w:hint="default"/>
      </w:rPr>
    </w:lvl>
    <w:lvl w:ilvl="2" w:tplc="5CEC22A4">
      <w:start w:val="1"/>
      <w:numFmt w:val="bullet"/>
      <w:lvlText w:val=""/>
      <w:lvlPicBulletId w:val="0"/>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C51BC1"/>
    <w:multiLevelType w:val="hybridMultilevel"/>
    <w:tmpl w:val="C23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685501"/>
    <w:multiLevelType w:val="hybridMultilevel"/>
    <w:tmpl w:val="9ED26DA8"/>
    <w:lvl w:ilvl="0" w:tplc="3E78DFD2">
      <w:start w:val="1"/>
      <w:numFmt w:val="bullet"/>
      <w:lvlText w:val="•"/>
      <w:lvlJc w:val="left"/>
      <w:pPr>
        <w:tabs>
          <w:tab w:val="num" w:pos="720"/>
        </w:tabs>
        <w:ind w:left="720" w:hanging="360"/>
      </w:pPr>
      <w:rPr>
        <w:rFonts w:ascii="Times New Roman" w:hAnsi="Times New Roman" w:hint="default"/>
      </w:rPr>
    </w:lvl>
    <w:lvl w:ilvl="1" w:tplc="00B6A1EC" w:tentative="1">
      <w:start w:val="1"/>
      <w:numFmt w:val="bullet"/>
      <w:lvlText w:val="•"/>
      <w:lvlJc w:val="left"/>
      <w:pPr>
        <w:tabs>
          <w:tab w:val="num" w:pos="1440"/>
        </w:tabs>
        <w:ind w:left="1440" w:hanging="360"/>
      </w:pPr>
      <w:rPr>
        <w:rFonts w:ascii="Times New Roman" w:hAnsi="Times New Roman" w:hint="default"/>
      </w:rPr>
    </w:lvl>
    <w:lvl w:ilvl="2" w:tplc="6F8A76D4" w:tentative="1">
      <w:start w:val="1"/>
      <w:numFmt w:val="bullet"/>
      <w:lvlText w:val="•"/>
      <w:lvlJc w:val="left"/>
      <w:pPr>
        <w:tabs>
          <w:tab w:val="num" w:pos="2160"/>
        </w:tabs>
        <w:ind w:left="2160" w:hanging="360"/>
      </w:pPr>
      <w:rPr>
        <w:rFonts w:ascii="Times New Roman" w:hAnsi="Times New Roman" w:hint="default"/>
      </w:rPr>
    </w:lvl>
    <w:lvl w:ilvl="3" w:tplc="408C9246" w:tentative="1">
      <w:start w:val="1"/>
      <w:numFmt w:val="bullet"/>
      <w:lvlText w:val="•"/>
      <w:lvlJc w:val="left"/>
      <w:pPr>
        <w:tabs>
          <w:tab w:val="num" w:pos="2880"/>
        </w:tabs>
        <w:ind w:left="2880" w:hanging="360"/>
      </w:pPr>
      <w:rPr>
        <w:rFonts w:ascii="Times New Roman" w:hAnsi="Times New Roman" w:hint="default"/>
      </w:rPr>
    </w:lvl>
    <w:lvl w:ilvl="4" w:tplc="F9DCF84C" w:tentative="1">
      <w:start w:val="1"/>
      <w:numFmt w:val="bullet"/>
      <w:lvlText w:val="•"/>
      <w:lvlJc w:val="left"/>
      <w:pPr>
        <w:tabs>
          <w:tab w:val="num" w:pos="3600"/>
        </w:tabs>
        <w:ind w:left="3600" w:hanging="360"/>
      </w:pPr>
      <w:rPr>
        <w:rFonts w:ascii="Times New Roman" w:hAnsi="Times New Roman" w:hint="default"/>
      </w:rPr>
    </w:lvl>
    <w:lvl w:ilvl="5" w:tplc="32E0289C" w:tentative="1">
      <w:start w:val="1"/>
      <w:numFmt w:val="bullet"/>
      <w:lvlText w:val="•"/>
      <w:lvlJc w:val="left"/>
      <w:pPr>
        <w:tabs>
          <w:tab w:val="num" w:pos="4320"/>
        </w:tabs>
        <w:ind w:left="4320" w:hanging="360"/>
      </w:pPr>
      <w:rPr>
        <w:rFonts w:ascii="Times New Roman" w:hAnsi="Times New Roman" w:hint="default"/>
      </w:rPr>
    </w:lvl>
    <w:lvl w:ilvl="6" w:tplc="315C2096" w:tentative="1">
      <w:start w:val="1"/>
      <w:numFmt w:val="bullet"/>
      <w:lvlText w:val="•"/>
      <w:lvlJc w:val="left"/>
      <w:pPr>
        <w:tabs>
          <w:tab w:val="num" w:pos="5040"/>
        </w:tabs>
        <w:ind w:left="5040" w:hanging="360"/>
      </w:pPr>
      <w:rPr>
        <w:rFonts w:ascii="Times New Roman" w:hAnsi="Times New Roman" w:hint="default"/>
      </w:rPr>
    </w:lvl>
    <w:lvl w:ilvl="7" w:tplc="736A3586" w:tentative="1">
      <w:start w:val="1"/>
      <w:numFmt w:val="bullet"/>
      <w:lvlText w:val="•"/>
      <w:lvlJc w:val="left"/>
      <w:pPr>
        <w:tabs>
          <w:tab w:val="num" w:pos="5760"/>
        </w:tabs>
        <w:ind w:left="5760" w:hanging="360"/>
      </w:pPr>
      <w:rPr>
        <w:rFonts w:ascii="Times New Roman" w:hAnsi="Times New Roman" w:hint="default"/>
      </w:rPr>
    </w:lvl>
    <w:lvl w:ilvl="8" w:tplc="B582F12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274128"/>
    <w:multiLevelType w:val="hybridMultilevel"/>
    <w:tmpl w:val="8DD6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561EA5"/>
    <w:multiLevelType w:val="hybridMultilevel"/>
    <w:tmpl w:val="A96AF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9763DB"/>
    <w:multiLevelType w:val="hybridMultilevel"/>
    <w:tmpl w:val="4D32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100902"/>
    <w:multiLevelType w:val="hybridMultilevel"/>
    <w:tmpl w:val="8E0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6C3B1C"/>
    <w:multiLevelType w:val="hybridMultilevel"/>
    <w:tmpl w:val="9DA2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314D2B"/>
    <w:multiLevelType w:val="hybridMultilevel"/>
    <w:tmpl w:val="732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0"/>
  </w:num>
  <w:num w:numId="4">
    <w:abstractNumId w:val="17"/>
  </w:num>
  <w:num w:numId="5">
    <w:abstractNumId w:val="30"/>
  </w:num>
  <w:num w:numId="6">
    <w:abstractNumId w:val="5"/>
  </w:num>
  <w:num w:numId="7">
    <w:abstractNumId w:val="31"/>
  </w:num>
  <w:num w:numId="8">
    <w:abstractNumId w:val="27"/>
  </w:num>
  <w:num w:numId="9">
    <w:abstractNumId w:val="0"/>
  </w:num>
  <w:num w:numId="10">
    <w:abstractNumId w:val="4"/>
  </w:num>
  <w:num w:numId="11">
    <w:abstractNumId w:val="2"/>
  </w:num>
  <w:num w:numId="12">
    <w:abstractNumId w:val="7"/>
  </w:num>
  <w:num w:numId="13">
    <w:abstractNumId w:val="26"/>
  </w:num>
  <w:num w:numId="14">
    <w:abstractNumId w:val="34"/>
  </w:num>
  <w:num w:numId="15">
    <w:abstractNumId w:val="9"/>
  </w:num>
  <w:num w:numId="16">
    <w:abstractNumId w:val="8"/>
  </w:num>
  <w:num w:numId="17">
    <w:abstractNumId w:val="10"/>
  </w:num>
  <w:num w:numId="18">
    <w:abstractNumId w:val="14"/>
  </w:num>
  <w:num w:numId="19">
    <w:abstractNumId w:val="12"/>
  </w:num>
  <w:num w:numId="20">
    <w:abstractNumId w:val="11"/>
  </w:num>
  <w:num w:numId="21">
    <w:abstractNumId w:val="32"/>
  </w:num>
  <w:num w:numId="22">
    <w:abstractNumId w:val="1"/>
  </w:num>
  <w:num w:numId="23">
    <w:abstractNumId w:val="15"/>
  </w:num>
  <w:num w:numId="24">
    <w:abstractNumId w:val="35"/>
  </w:num>
  <w:num w:numId="25">
    <w:abstractNumId w:val="13"/>
  </w:num>
  <w:num w:numId="26">
    <w:abstractNumId w:val="29"/>
  </w:num>
  <w:num w:numId="27">
    <w:abstractNumId w:val="22"/>
  </w:num>
  <w:num w:numId="28">
    <w:abstractNumId w:val="21"/>
  </w:num>
  <w:num w:numId="29">
    <w:abstractNumId w:val="25"/>
  </w:num>
  <w:num w:numId="30">
    <w:abstractNumId w:val="28"/>
  </w:num>
  <w:num w:numId="31">
    <w:abstractNumId w:val="16"/>
  </w:num>
  <w:num w:numId="32">
    <w:abstractNumId w:val="18"/>
  </w:num>
  <w:num w:numId="33">
    <w:abstractNumId w:val="24"/>
  </w:num>
  <w:num w:numId="34">
    <w:abstractNumId w:val="3"/>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0B"/>
    <w:rsid w:val="00002E0F"/>
    <w:rsid w:val="00025846"/>
    <w:rsid w:val="00043E68"/>
    <w:rsid w:val="000536BA"/>
    <w:rsid w:val="0005794D"/>
    <w:rsid w:val="00072B59"/>
    <w:rsid w:val="000C66D2"/>
    <w:rsid w:val="000D0D1E"/>
    <w:rsid w:val="00115019"/>
    <w:rsid w:val="001157DC"/>
    <w:rsid w:val="0012778F"/>
    <w:rsid w:val="00130D9C"/>
    <w:rsid w:val="0015284B"/>
    <w:rsid w:val="00152CF1"/>
    <w:rsid w:val="001573D3"/>
    <w:rsid w:val="0016691E"/>
    <w:rsid w:val="001A4724"/>
    <w:rsid w:val="001C1D0B"/>
    <w:rsid w:val="001D0BA6"/>
    <w:rsid w:val="001D0E3B"/>
    <w:rsid w:val="00201E4E"/>
    <w:rsid w:val="00204829"/>
    <w:rsid w:val="00206961"/>
    <w:rsid w:val="00213A8D"/>
    <w:rsid w:val="00214E41"/>
    <w:rsid w:val="00217798"/>
    <w:rsid w:val="0022133A"/>
    <w:rsid w:val="00243DBD"/>
    <w:rsid w:val="00244983"/>
    <w:rsid w:val="00245487"/>
    <w:rsid w:val="00250306"/>
    <w:rsid w:val="0025290D"/>
    <w:rsid w:val="00261233"/>
    <w:rsid w:val="0026658D"/>
    <w:rsid w:val="00272832"/>
    <w:rsid w:val="002813E8"/>
    <w:rsid w:val="00286035"/>
    <w:rsid w:val="00291E6D"/>
    <w:rsid w:val="002A29CC"/>
    <w:rsid w:val="002C61C0"/>
    <w:rsid w:val="002D0659"/>
    <w:rsid w:val="0030013D"/>
    <w:rsid w:val="003162AB"/>
    <w:rsid w:val="00317B0F"/>
    <w:rsid w:val="00337B2E"/>
    <w:rsid w:val="00365380"/>
    <w:rsid w:val="0037641C"/>
    <w:rsid w:val="00381E70"/>
    <w:rsid w:val="00387752"/>
    <w:rsid w:val="00392031"/>
    <w:rsid w:val="003A3A2B"/>
    <w:rsid w:val="003B7DCD"/>
    <w:rsid w:val="003D6EA0"/>
    <w:rsid w:val="003E480F"/>
    <w:rsid w:val="003E48AC"/>
    <w:rsid w:val="003F3656"/>
    <w:rsid w:val="004436EF"/>
    <w:rsid w:val="00447312"/>
    <w:rsid w:val="00450194"/>
    <w:rsid w:val="00474A23"/>
    <w:rsid w:val="00483336"/>
    <w:rsid w:val="00483CA9"/>
    <w:rsid w:val="00486CA2"/>
    <w:rsid w:val="0049540B"/>
    <w:rsid w:val="004A3915"/>
    <w:rsid w:val="004B08CD"/>
    <w:rsid w:val="004D4196"/>
    <w:rsid w:val="004E3DE5"/>
    <w:rsid w:val="004F6F87"/>
    <w:rsid w:val="00507B6C"/>
    <w:rsid w:val="00536947"/>
    <w:rsid w:val="00550282"/>
    <w:rsid w:val="00571220"/>
    <w:rsid w:val="00574EE5"/>
    <w:rsid w:val="00583520"/>
    <w:rsid w:val="00597343"/>
    <w:rsid w:val="005A62CE"/>
    <w:rsid w:val="005A6E8C"/>
    <w:rsid w:val="005C51DE"/>
    <w:rsid w:val="005C5BC2"/>
    <w:rsid w:val="005F7A65"/>
    <w:rsid w:val="0061745C"/>
    <w:rsid w:val="006274B4"/>
    <w:rsid w:val="0066320F"/>
    <w:rsid w:val="00663492"/>
    <w:rsid w:val="006C10A9"/>
    <w:rsid w:val="006C56A7"/>
    <w:rsid w:val="006D1518"/>
    <w:rsid w:val="006D7107"/>
    <w:rsid w:val="006D771D"/>
    <w:rsid w:val="006F4C9C"/>
    <w:rsid w:val="00713CD8"/>
    <w:rsid w:val="0071541D"/>
    <w:rsid w:val="00715468"/>
    <w:rsid w:val="00716A64"/>
    <w:rsid w:val="00733942"/>
    <w:rsid w:val="00743F3C"/>
    <w:rsid w:val="00753F97"/>
    <w:rsid w:val="00755503"/>
    <w:rsid w:val="00760AC6"/>
    <w:rsid w:val="007675F0"/>
    <w:rsid w:val="00786CEC"/>
    <w:rsid w:val="007A436A"/>
    <w:rsid w:val="0081369E"/>
    <w:rsid w:val="00817518"/>
    <w:rsid w:val="0082485E"/>
    <w:rsid w:val="00826FDE"/>
    <w:rsid w:val="008443BE"/>
    <w:rsid w:val="0085369C"/>
    <w:rsid w:val="00856DF1"/>
    <w:rsid w:val="008577CB"/>
    <w:rsid w:val="008668A1"/>
    <w:rsid w:val="00872B88"/>
    <w:rsid w:val="0087319A"/>
    <w:rsid w:val="0087384C"/>
    <w:rsid w:val="00874341"/>
    <w:rsid w:val="008B5487"/>
    <w:rsid w:val="008C233B"/>
    <w:rsid w:val="008C7167"/>
    <w:rsid w:val="008C7418"/>
    <w:rsid w:val="008E108F"/>
    <w:rsid w:val="008E502F"/>
    <w:rsid w:val="0096360E"/>
    <w:rsid w:val="009700E0"/>
    <w:rsid w:val="00973113"/>
    <w:rsid w:val="0097554D"/>
    <w:rsid w:val="009912DD"/>
    <w:rsid w:val="009A53DB"/>
    <w:rsid w:val="009A75C9"/>
    <w:rsid w:val="00A01344"/>
    <w:rsid w:val="00A03CC3"/>
    <w:rsid w:val="00A10282"/>
    <w:rsid w:val="00A32E48"/>
    <w:rsid w:val="00A56F24"/>
    <w:rsid w:val="00A72BCB"/>
    <w:rsid w:val="00AA637D"/>
    <w:rsid w:val="00AB3B74"/>
    <w:rsid w:val="00AC48E3"/>
    <w:rsid w:val="00AC57A8"/>
    <w:rsid w:val="00AD273D"/>
    <w:rsid w:val="00AE2199"/>
    <w:rsid w:val="00AE2D63"/>
    <w:rsid w:val="00AF7CC0"/>
    <w:rsid w:val="00B019C9"/>
    <w:rsid w:val="00B154D2"/>
    <w:rsid w:val="00B32545"/>
    <w:rsid w:val="00B36853"/>
    <w:rsid w:val="00B4721B"/>
    <w:rsid w:val="00B61CAE"/>
    <w:rsid w:val="00B65D29"/>
    <w:rsid w:val="00B765AD"/>
    <w:rsid w:val="00B923E6"/>
    <w:rsid w:val="00B96220"/>
    <w:rsid w:val="00BA0117"/>
    <w:rsid w:val="00BB04EA"/>
    <w:rsid w:val="00BB138F"/>
    <w:rsid w:val="00BB7D97"/>
    <w:rsid w:val="00BC1B71"/>
    <w:rsid w:val="00BD6A40"/>
    <w:rsid w:val="00BE62DF"/>
    <w:rsid w:val="00BE7BC2"/>
    <w:rsid w:val="00BF310B"/>
    <w:rsid w:val="00C00969"/>
    <w:rsid w:val="00C03FC0"/>
    <w:rsid w:val="00C11C41"/>
    <w:rsid w:val="00C124E4"/>
    <w:rsid w:val="00C21270"/>
    <w:rsid w:val="00C41D4C"/>
    <w:rsid w:val="00C454C7"/>
    <w:rsid w:val="00C47B64"/>
    <w:rsid w:val="00C55D02"/>
    <w:rsid w:val="00C7103E"/>
    <w:rsid w:val="00C74C3A"/>
    <w:rsid w:val="00C922A6"/>
    <w:rsid w:val="00CA1D1A"/>
    <w:rsid w:val="00CA4CDD"/>
    <w:rsid w:val="00CB2550"/>
    <w:rsid w:val="00CD00E5"/>
    <w:rsid w:val="00D06F2C"/>
    <w:rsid w:val="00D362E7"/>
    <w:rsid w:val="00D527F5"/>
    <w:rsid w:val="00D53E98"/>
    <w:rsid w:val="00D5734F"/>
    <w:rsid w:val="00D57706"/>
    <w:rsid w:val="00D87440"/>
    <w:rsid w:val="00D94AC6"/>
    <w:rsid w:val="00DB0356"/>
    <w:rsid w:val="00DC4140"/>
    <w:rsid w:val="00DE79A2"/>
    <w:rsid w:val="00DF1B73"/>
    <w:rsid w:val="00E00669"/>
    <w:rsid w:val="00E168D0"/>
    <w:rsid w:val="00E20D73"/>
    <w:rsid w:val="00E26A38"/>
    <w:rsid w:val="00E30899"/>
    <w:rsid w:val="00E43EBB"/>
    <w:rsid w:val="00E44155"/>
    <w:rsid w:val="00E45683"/>
    <w:rsid w:val="00E61278"/>
    <w:rsid w:val="00E660F5"/>
    <w:rsid w:val="00EB6259"/>
    <w:rsid w:val="00ED4F5A"/>
    <w:rsid w:val="00ED50AF"/>
    <w:rsid w:val="00ED7057"/>
    <w:rsid w:val="00EE4710"/>
    <w:rsid w:val="00EE5837"/>
    <w:rsid w:val="00EF0D12"/>
    <w:rsid w:val="00EF38DE"/>
    <w:rsid w:val="00EF422C"/>
    <w:rsid w:val="00F04E5E"/>
    <w:rsid w:val="00F17DDE"/>
    <w:rsid w:val="00F3481B"/>
    <w:rsid w:val="00F378BE"/>
    <w:rsid w:val="00F46A41"/>
    <w:rsid w:val="00F60DA5"/>
    <w:rsid w:val="00F732E5"/>
    <w:rsid w:val="00F829CC"/>
    <w:rsid w:val="00F86A0A"/>
    <w:rsid w:val="00FA1074"/>
    <w:rsid w:val="00FA30A5"/>
    <w:rsid w:val="00FF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B88"/>
    <w:pPr>
      <w:spacing w:before="120" w:after="12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0B"/>
    <w:pPr>
      <w:ind w:left="720"/>
      <w:contextualSpacing/>
    </w:pPr>
  </w:style>
  <w:style w:type="paragraph" w:customStyle="1" w:styleId="Default">
    <w:name w:val="Default"/>
    <w:link w:val="DefaultChar"/>
    <w:rsid w:val="00BF310B"/>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286035"/>
    <w:pPr>
      <w:tabs>
        <w:tab w:val="center" w:pos="4513"/>
        <w:tab w:val="right" w:pos="9026"/>
      </w:tabs>
    </w:pPr>
  </w:style>
  <w:style w:type="character" w:customStyle="1" w:styleId="HeaderChar">
    <w:name w:val="Header Char"/>
    <w:basedOn w:val="DefaultParagraphFont"/>
    <w:link w:val="Header"/>
    <w:rsid w:val="00286035"/>
    <w:rPr>
      <w:sz w:val="24"/>
      <w:szCs w:val="24"/>
    </w:rPr>
  </w:style>
  <w:style w:type="paragraph" w:styleId="Footer">
    <w:name w:val="footer"/>
    <w:basedOn w:val="Normal"/>
    <w:link w:val="FooterChar"/>
    <w:uiPriority w:val="99"/>
    <w:rsid w:val="00286035"/>
    <w:pPr>
      <w:tabs>
        <w:tab w:val="center" w:pos="4513"/>
        <w:tab w:val="right" w:pos="9026"/>
      </w:tabs>
    </w:pPr>
  </w:style>
  <w:style w:type="character" w:customStyle="1" w:styleId="FooterChar">
    <w:name w:val="Footer Char"/>
    <w:basedOn w:val="DefaultParagraphFont"/>
    <w:link w:val="Footer"/>
    <w:uiPriority w:val="99"/>
    <w:rsid w:val="00286035"/>
    <w:rPr>
      <w:sz w:val="24"/>
      <w:szCs w:val="24"/>
    </w:rPr>
  </w:style>
  <w:style w:type="paragraph" w:styleId="BalloonText">
    <w:name w:val="Balloon Text"/>
    <w:basedOn w:val="Normal"/>
    <w:link w:val="BalloonTextChar"/>
    <w:rsid w:val="00ED50AF"/>
    <w:rPr>
      <w:rFonts w:ascii="Tahoma" w:hAnsi="Tahoma" w:cs="Tahoma"/>
      <w:sz w:val="16"/>
      <w:szCs w:val="16"/>
    </w:rPr>
  </w:style>
  <w:style w:type="character" w:customStyle="1" w:styleId="BalloonTextChar">
    <w:name w:val="Balloon Text Char"/>
    <w:basedOn w:val="DefaultParagraphFont"/>
    <w:link w:val="BalloonText"/>
    <w:rsid w:val="00ED50AF"/>
    <w:rPr>
      <w:rFonts w:ascii="Tahoma" w:hAnsi="Tahoma" w:cs="Tahoma"/>
      <w:sz w:val="16"/>
      <w:szCs w:val="16"/>
    </w:rPr>
  </w:style>
  <w:style w:type="paragraph" w:customStyle="1" w:styleId="Style1">
    <w:name w:val="Style1"/>
    <w:basedOn w:val="Default"/>
    <w:link w:val="Style1Char"/>
    <w:qFormat/>
    <w:rsid w:val="00204829"/>
    <w:rPr>
      <w:rFonts w:ascii="Arial" w:hAnsi="Arial" w:cs="Arial"/>
      <w:sz w:val="22"/>
      <w:szCs w:val="22"/>
    </w:rPr>
  </w:style>
  <w:style w:type="character" w:styleId="Strong">
    <w:name w:val="Strong"/>
    <w:basedOn w:val="DefaultParagraphFont"/>
    <w:uiPriority w:val="22"/>
    <w:qFormat/>
    <w:rsid w:val="00204829"/>
    <w:rPr>
      <w:rFonts w:ascii="Arial" w:hAnsi="Arial"/>
      <w:b/>
      <w:bCs/>
      <w:sz w:val="24"/>
    </w:rPr>
  </w:style>
  <w:style w:type="character" w:customStyle="1" w:styleId="DefaultChar">
    <w:name w:val="Default Char"/>
    <w:basedOn w:val="DefaultParagraphFont"/>
    <w:link w:val="Default"/>
    <w:rsid w:val="00204829"/>
    <w:rPr>
      <w:rFonts w:ascii="Calibri" w:hAnsi="Calibri" w:cs="Calibri"/>
      <w:color w:val="000000"/>
      <w:sz w:val="24"/>
      <w:szCs w:val="24"/>
    </w:rPr>
  </w:style>
  <w:style w:type="character" w:customStyle="1" w:styleId="Style1Char">
    <w:name w:val="Style1 Char"/>
    <w:basedOn w:val="DefaultChar"/>
    <w:link w:val="Style1"/>
    <w:rsid w:val="00204829"/>
    <w:rPr>
      <w:rFonts w:ascii="Arial" w:hAnsi="Arial" w:cs="Arial"/>
      <w:color w:val="000000"/>
      <w:sz w:val="22"/>
      <w:szCs w:val="22"/>
    </w:rPr>
  </w:style>
  <w:style w:type="paragraph" w:customStyle="1" w:styleId="Style2">
    <w:name w:val="Style2"/>
    <w:basedOn w:val="Style1"/>
    <w:link w:val="Style2Char"/>
    <w:qFormat/>
    <w:rsid w:val="00204829"/>
    <w:pPr>
      <w:spacing w:before="120" w:after="120"/>
    </w:pPr>
    <w:rPr>
      <w:b/>
    </w:rPr>
  </w:style>
  <w:style w:type="paragraph" w:styleId="EndnoteText">
    <w:name w:val="endnote text"/>
    <w:basedOn w:val="Normal"/>
    <w:link w:val="EndnoteTextChar"/>
    <w:rsid w:val="00474A23"/>
    <w:pPr>
      <w:spacing w:before="0" w:after="0"/>
    </w:pPr>
    <w:rPr>
      <w:sz w:val="20"/>
      <w:szCs w:val="20"/>
    </w:rPr>
  </w:style>
  <w:style w:type="character" w:customStyle="1" w:styleId="Style2Char">
    <w:name w:val="Style2 Char"/>
    <w:basedOn w:val="Style1Char"/>
    <w:link w:val="Style2"/>
    <w:rsid w:val="00204829"/>
    <w:rPr>
      <w:rFonts w:ascii="Arial" w:hAnsi="Arial" w:cs="Arial"/>
      <w:b/>
      <w:color w:val="000000"/>
      <w:sz w:val="22"/>
      <w:szCs w:val="22"/>
    </w:rPr>
  </w:style>
  <w:style w:type="character" w:customStyle="1" w:styleId="EndnoteTextChar">
    <w:name w:val="Endnote Text Char"/>
    <w:basedOn w:val="DefaultParagraphFont"/>
    <w:link w:val="EndnoteText"/>
    <w:rsid w:val="00474A23"/>
    <w:rPr>
      <w:rFonts w:ascii="Arial" w:hAnsi="Arial"/>
    </w:rPr>
  </w:style>
  <w:style w:type="character" w:styleId="EndnoteReference">
    <w:name w:val="endnote reference"/>
    <w:basedOn w:val="DefaultParagraphFont"/>
    <w:rsid w:val="00474A23"/>
    <w:rPr>
      <w:vertAlign w:val="superscript"/>
    </w:rPr>
  </w:style>
  <w:style w:type="character" w:styleId="Hyperlink">
    <w:name w:val="Hyperlink"/>
    <w:basedOn w:val="DefaultParagraphFont"/>
    <w:rsid w:val="00474A23"/>
    <w:rPr>
      <w:color w:val="0000FF" w:themeColor="hyperlink"/>
      <w:u w:val="single"/>
    </w:rPr>
  </w:style>
  <w:style w:type="table" w:styleId="TableGrid">
    <w:name w:val="Table Grid"/>
    <w:basedOn w:val="TableNormal"/>
    <w:rsid w:val="0085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69C"/>
    <w:pPr>
      <w:spacing w:before="100" w:beforeAutospacing="1" w:after="100" w:afterAutospacing="1"/>
    </w:pPr>
    <w:rPr>
      <w:rFonts w:ascii="Times New Roman" w:hAnsi="Times New Roman"/>
      <w:sz w:val="24"/>
    </w:rPr>
  </w:style>
  <w:style w:type="table" w:styleId="LightList-Accent1">
    <w:name w:val="Light List Accent 1"/>
    <w:basedOn w:val="TableNormal"/>
    <w:uiPriority w:val="61"/>
    <w:rsid w:val="002454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B88"/>
    <w:pPr>
      <w:spacing w:before="120" w:after="12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0B"/>
    <w:pPr>
      <w:ind w:left="720"/>
      <w:contextualSpacing/>
    </w:pPr>
  </w:style>
  <w:style w:type="paragraph" w:customStyle="1" w:styleId="Default">
    <w:name w:val="Default"/>
    <w:link w:val="DefaultChar"/>
    <w:rsid w:val="00BF310B"/>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286035"/>
    <w:pPr>
      <w:tabs>
        <w:tab w:val="center" w:pos="4513"/>
        <w:tab w:val="right" w:pos="9026"/>
      </w:tabs>
    </w:pPr>
  </w:style>
  <w:style w:type="character" w:customStyle="1" w:styleId="HeaderChar">
    <w:name w:val="Header Char"/>
    <w:basedOn w:val="DefaultParagraphFont"/>
    <w:link w:val="Header"/>
    <w:rsid w:val="00286035"/>
    <w:rPr>
      <w:sz w:val="24"/>
      <w:szCs w:val="24"/>
    </w:rPr>
  </w:style>
  <w:style w:type="paragraph" w:styleId="Footer">
    <w:name w:val="footer"/>
    <w:basedOn w:val="Normal"/>
    <w:link w:val="FooterChar"/>
    <w:uiPriority w:val="99"/>
    <w:rsid w:val="00286035"/>
    <w:pPr>
      <w:tabs>
        <w:tab w:val="center" w:pos="4513"/>
        <w:tab w:val="right" w:pos="9026"/>
      </w:tabs>
    </w:pPr>
  </w:style>
  <w:style w:type="character" w:customStyle="1" w:styleId="FooterChar">
    <w:name w:val="Footer Char"/>
    <w:basedOn w:val="DefaultParagraphFont"/>
    <w:link w:val="Footer"/>
    <w:uiPriority w:val="99"/>
    <w:rsid w:val="00286035"/>
    <w:rPr>
      <w:sz w:val="24"/>
      <w:szCs w:val="24"/>
    </w:rPr>
  </w:style>
  <w:style w:type="paragraph" w:styleId="BalloonText">
    <w:name w:val="Balloon Text"/>
    <w:basedOn w:val="Normal"/>
    <w:link w:val="BalloonTextChar"/>
    <w:rsid w:val="00ED50AF"/>
    <w:rPr>
      <w:rFonts w:ascii="Tahoma" w:hAnsi="Tahoma" w:cs="Tahoma"/>
      <w:sz w:val="16"/>
      <w:szCs w:val="16"/>
    </w:rPr>
  </w:style>
  <w:style w:type="character" w:customStyle="1" w:styleId="BalloonTextChar">
    <w:name w:val="Balloon Text Char"/>
    <w:basedOn w:val="DefaultParagraphFont"/>
    <w:link w:val="BalloonText"/>
    <w:rsid w:val="00ED50AF"/>
    <w:rPr>
      <w:rFonts w:ascii="Tahoma" w:hAnsi="Tahoma" w:cs="Tahoma"/>
      <w:sz w:val="16"/>
      <w:szCs w:val="16"/>
    </w:rPr>
  </w:style>
  <w:style w:type="paragraph" w:customStyle="1" w:styleId="Style1">
    <w:name w:val="Style1"/>
    <w:basedOn w:val="Default"/>
    <w:link w:val="Style1Char"/>
    <w:qFormat/>
    <w:rsid w:val="00204829"/>
    <w:rPr>
      <w:rFonts w:ascii="Arial" w:hAnsi="Arial" w:cs="Arial"/>
      <w:sz w:val="22"/>
      <w:szCs w:val="22"/>
    </w:rPr>
  </w:style>
  <w:style w:type="character" w:styleId="Strong">
    <w:name w:val="Strong"/>
    <w:basedOn w:val="DefaultParagraphFont"/>
    <w:uiPriority w:val="22"/>
    <w:qFormat/>
    <w:rsid w:val="00204829"/>
    <w:rPr>
      <w:rFonts w:ascii="Arial" w:hAnsi="Arial"/>
      <w:b/>
      <w:bCs/>
      <w:sz w:val="24"/>
    </w:rPr>
  </w:style>
  <w:style w:type="character" w:customStyle="1" w:styleId="DefaultChar">
    <w:name w:val="Default Char"/>
    <w:basedOn w:val="DefaultParagraphFont"/>
    <w:link w:val="Default"/>
    <w:rsid w:val="00204829"/>
    <w:rPr>
      <w:rFonts w:ascii="Calibri" w:hAnsi="Calibri" w:cs="Calibri"/>
      <w:color w:val="000000"/>
      <w:sz w:val="24"/>
      <w:szCs w:val="24"/>
    </w:rPr>
  </w:style>
  <w:style w:type="character" w:customStyle="1" w:styleId="Style1Char">
    <w:name w:val="Style1 Char"/>
    <w:basedOn w:val="DefaultChar"/>
    <w:link w:val="Style1"/>
    <w:rsid w:val="00204829"/>
    <w:rPr>
      <w:rFonts w:ascii="Arial" w:hAnsi="Arial" w:cs="Arial"/>
      <w:color w:val="000000"/>
      <w:sz w:val="22"/>
      <w:szCs w:val="22"/>
    </w:rPr>
  </w:style>
  <w:style w:type="paragraph" w:customStyle="1" w:styleId="Style2">
    <w:name w:val="Style2"/>
    <w:basedOn w:val="Style1"/>
    <w:link w:val="Style2Char"/>
    <w:qFormat/>
    <w:rsid w:val="00204829"/>
    <w:pPr>
      <w:spacing w:before="120" w:after="120"/>
    </w:pPr>
    <w:rPr>
      <w:b/>
    </w:rPr>
  </w:style>
  <w:style w:type="paragraph" w:styleId="EndnoteText">
    <w:name w:val="endnote text"/>
    <w:basedOn w:val="Normal"/>
    <w:link w:val="EndnoteTextChar"/>
    <w:rsid w:val="00474A23"/>
    <w:pPr>
      <w:spacing w:before="0" w:after="0"/>
    </w:pPr>
    <w:rPr>
      <w:sz w:val="20"/>
      <w:szCs w:val="20"/>
    </w:rPr>
  </w:style>
  <w:style w:type="character" w:customStyle="1" w:styleId="Style2Char">
    <w:name w:val="Style2 Char"/>
    <w:basedOn w:val="Style1Char"/>
    <w:link w:val="Style2"/>
    <w:rsid w:val="00204829"/>
    <w:rPr>
      <w:rFonts w:ascii="Arial" w:hAnsi="Arial" w:cs="Arial"/>
      <w:b/>
      <w:color w:val="000000"/>
      <w:sz w:val="22"/>
      <w:szCs w:val="22"/>
    </w:rPr>
  </w:style>
  <w:style w:type="character" w:customStyle="1" w:styleId="EndnoteTextChar">
    <w:name w:val="Endnote Text Char"/>
    <w:basedOn w:val="DefaultParagraphFont"/>
    <w:link w:val="EndnoteText"/>
    <w:rsid w:val="00474A23"/>
    <w:rPr>
      <w:rFonts w:ascii="Arial" w:hAnsi="Arial"/>
    </w:rPr>
  </w:style>
  <w:style w:type="character" w:styleId="EndnoteReference">
    <w:name w:val="endnote reference"/>
    <w:basedOn w:val="DefaultParagraphFont"/>
    <w:rsid w:val="00474A23"/>
    <w:rPr>
      <w:vertAlign w:val="superscript"/>
    </w:rPr>
  </w:style>
  <w:style w:type="character" w:styleId="Hyperlink">
    <w:name w:val="Hyperlink"/>
    <w:basedOn w:val="DefaultParagraphFont"/>
    <w:rsid w:val="00474A23"/>
    <w:rPr>
      <w:color w:val="0000FF" w:themeColor="hyperlink"/>
      <w:u w:val="single"/>
    </w:rPr>
  </w:style>
  <w:style w:type="table" w:styleId="TableGrid">
    <w:name w:val="Table Grid"/>
    <w:basedOn w:val="TableNormal"/>
    <w:rsid w:val="00853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69C"/>
    <w:pPr>
      <w:spacing w:before="100" w:beforeAutospacing="1" w:after="100" w:afterAutospacing="1"/>
    </w:pPr>
    <w:rPr>
      <w:rFonts w:ascii="Times New Roman" w:hAnsi="Times New Roman"/>
      <w:sz w:val="24"/>
    </w:rPr>
  </w:style>
  <w:style w:type="table" w:styleId="LightList-Accent1">
    <w:name w:val="Light List Accent 1"/>
    <w:basedOn w:val="TableNormal"/>
    <w:uiPriority w:val="61"/>
    <w:rsid w:val="002454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47893">
      <w:bodyDiv w:val="1"/>
      <w:marLeft w:val="0"/>
      <w:marRight w:val="0"/>
      <w:marTop w:val="0"/>
      <w:marBottom w:val="0"/>
      <w:divBdr>
        <w:top w:val="none" w:sz="0" w:space="0" w:color="auto"/>
        <w:left w:val="none" w:sz="0" w:space="0" w:color="auto"/>
        <w:bottom w:val="none" w:sz="0" w:space="0" w:color="auto"/>
        <w:right w:val="none" w:sz="0" w:space="0" w:color="auto"/>
      </w:divBdr>
      <w:divsChild>
        <w:div w:id="405735321">
          <w:marLeft w:val="0"/>
          <w:marRight w:val="0"/>
          <w:marTop w:val="0"/>
          <w:marBottom w:val="0"/>
          <w:divBdr>
            <w:top w:val="none" w:sz="0" w:space="0" w:color="auto"/>
            <w:left w:val="none" w:sz="0" w:space="0" w:color="auto"/>
            <w:bottom w:val="none" w:sz="0" w:space="0" w:color="auto"/>
            <w:right w:val="none" w:sz="0" w:space="0" w:color="auto"/>
          </w:divBdr>
          <w:divsChild>
            <w:div w:id="1239943459">
              <w:marLeft w:val="0"/>
              <w:marRight w:val="0"/>
              <w:marTop w:val="0"/>
              <w:marBottom w:val="0"/>
              <w:divBdr>
                <w:top w:val="none" w:sz="0" w:space="0" w:color="auto"/>
                <w:left w:val="none" w:sz="0" w:space="0" w:color="auto"/>
                <w:bottom w:val="none" w:sz="0" w:space="0" w:color="auto"/>
                <w:right w:val="none" w:sz="0" w:space="0" w:color="auto"/>
              </w:divBdr>
            </w:div>
          </w:divsChild>
        </w:div>
        <w:div w:id="1945305569">
          <w:marLeft w:val="0"/>
          <w:marRight w:val="0"/>
          <w:marTop w:val="0"/>
          <w:marBottom w:val="0"/>
          <w:divBdr>
            <w:top w:val="none" w:sz="0" w:space="0" w:color="auto"/>
            <w:left w:val="none" w:sz="0" w:space="0" w:color="auto"/>
            <w:bottom w:val="none" w:sz="0" w:space="0" w:color="auto"/>
            <w:right w:val="none" w:sz="0" w:space="0" w:color="auto"/>
          </w:divBdr>
        </w:div>
      </w:divsChild>
    </w:div>
    <w:div w:id="1143280852">
      <w:bodyDiv w:val="1"/>
      <w:marLeft w:val="0"/>
      <w:marRight w:val="0"/>
      <w:marTop w:val="0"/>
      <w:marBottom w:val="0"/>
      <w:divBdr>
        <w:top w:val="none" w:sz="0" w:space="0" w:color="auto"/>
        <w:left w:val="none" w:sz="0" w:space="0" w:color="auto"/>
        <w:bottom w:val="none" w:sz="0" w:space="0" w:color="auto"/>
        <w:right w:val="none" w:sz="0" w:space="0" w:color="auto"/>
      </w:divBdr>
      <w:divsChild>
        <w:div w:id="1317417209">
          <w:marLeft w:val="547"/>
          <w:marRight w:val="0"/>
          <w:marTop w:val="0"/>
          <w:marBottom w:val="0"/>
          <w:divBdr>
            <w:top w:val="none" w:sz="0" w:space="0" w:color="auto"/>
            <w:left w:val="none" w:sz="0" w:space="0" w:color="auto"/>
            <w:bottom w:val="none" w:sz="0" w:space="0" w:color="auto"/>
            <w:right w:val="none" w:sz="0" w:space="0" w:color="auto"/>
          </w:divBdr>
        </w:div>
      </w:divsChild>
    </w:div>
    <w:div w:id="1448162704">
      <w:bodyDiv w:val="1"/>
      <w:marLeft w:val="0"/>
      <w:marRight w:val="0"/>
      <w:marTop w:val="0"/>
      <w:marBottom w:val="0"/>
      <w:divBdr>
        <w:top w:val="none" w:sz="0" w:space="0" w:color="auto"/>
        <w:left w:val="none" w:sz="0" w:space="0" w:color="auto"/>
        <w:bottom w:val="none" w:sz="0" w:space="0" w:color="auto"/>
        <w:right w:val="none" w:sz="0" w:space="0" w:color="auto"/>
      </w:divBdr>
    </w:div>
    <w:div w:id="1882399181">
      <w:bodyDiv w:val="1"/>
      <w:marLeft w:val="0"/>
      <w:marRight w:val="0"/>
      <w:marTop w:val="0"/>
      <w:marBottom w:val="0"/>
      <w:divBdr>
        <w:top w:val="none" w:sz="0" w:space="0" w:color="auto"/>
        <w:left w:val="none" w:sz="0" w:space="0" w:color="auto"/>
        <w:bottom w:val="none" w:sz="0" w:space="0" w:color="auto"/>
        <w:right w:val="none" w:sz="0" w:space="0" w:color="auto"/>
      </w:divBdr>
    </w:div>
    <w:div w:id="1952206436">
      <w:bodyDiv w:val="1"/>
      <w:marLeft w:val="0"/>
      <w:marRight w:val="0"/>
      <w:marTop w:val="0"/>
      <w:marBottom w:val="0"/>
      <w:divBdr>
        <w:top w:val="none" w:sz="0" w:space="0" w:color="auto"/>
        <w:left w:val="none" w:sz="0" w:space="0" w:color="auto"/>
        <w:bottom w:val="none" w:sz="0" w:space="0" w:color="auto"/>
        <w:right w:val="none" w:sz="0" w:space="0" w:color="auto"/>
      </w:divBdr>
      <w:divsChild>
        <w:div w:id="1362130075">
          <w:marLeft w:val="0"/>
          <w:marRight w:val="0"/>
          <w:marTop w:val="0"/>
          <w:marBottom w:val="0"/>
          <w:divBdr>
            <w:top w:val="none" w:sz="0" w:space="0" w:color="auto"/>
            <w:left w:val="none" w:sz="0" w:space="0" w:color="auto"/>
            <w:bottom w:val="none" w:sz="0" w:space="0" w:color="auto"/>
            <w:right w:val="none" w:sz="0" w:space="0" w:color="auto"/>
          </w:divBdr>
          <w:divsChild>
            <w:div w:id="193003856">
              <w:marLeft w:val="0"/>
              <w:marRight w:val="0"/>
              <w:marTop w:val="0"/>
              <w:marBottom w:val="0"/>
              <w:divBdr>
                <w:top w:val="none" w:sz="0" w:space="0" w:color="auto"/>
                <w:left w:val="none" w:sz="0" w:space="0" w:color="auto"/>
                <w:bottom w:val="none" w:sz="0" w:space="0" w:color="auto"/>
                <w:right w:val="none" w:sz="0" w:space="0" w:color="auto"/>
              </w:divBdr>
            </w:div>
          </w:divsChild>
        </w:div>
        <w:div w:id="86194860">
          <w:marLeft w:val="0"/>
          <w:marRight w:val="0"/>
          <w:marTop w:val="0"/>
          <w:marBottom w:val="0"/>
          <w:divBdr>
            <w:top w:val="none" w:sz="0" w:space="0" w:color="auto"/>
            <w:left w:val="none" w:sz="0" w:space="0" w:color="auto"/>
            <w:bottom w:val="none" w:sz="0" w:space="0" w:color="auto"/>
            <w:right w:val="none" w:sz="0" w:space="0" w:color="auto"/>
          </w:divBdr>
        </w:div>
      </w:divsChild>
    </w:div>
    <w:div w:id="2044943183">
      <w:bodyDiv w:val="1"/>
      <w:marLeft w:val="0"/>
      <w:marRight w:val="0"/>
      <w:marTop w:val="0"/>
      <w:marBottom w:val="0"/>
      <w:divBdr>
        <w:top w:val="none" w:sz="0" w:space="0" w:color="auto"/>
        <w:left w:val="none" w:sz="0" w:space="0" w:color="auto"/>
        <w:bottom w:val="none" w:sz="0" w:space="0" w:color="auto"/>
        <w:right w:val="none" w:sz="0" w:space="0" w:color="auto"/>
      </w:divBdr>
      <w:divsChild>
        <w:div w:id="890269387">
          <w:marLeft w:val="547"/>
          <w:marRight w:val="0"/>
          <w:marTop w:val="0"/>
          <w:marBottom w:val="0"/>
          <w:divBdr>
            <w:top w:val="none" w:sz="0" w:space="0" w:color="auto"/>
            <w:left w:val="none" w:sz="0" w:space="0" w:color="auto"/>
            <w:bottom w:val="none" w:sz="0" w:space="0" w:color="auto"/>
            <w:right w:val="none" w:sz="0" w:space="0" w:color="auto"/>
          </w:divBdr>
        </w:div>
      </w:divsChild>
    </w:div>
    <w:div w:id="2050495731">
      <w:bodyDiv w:val="1"/>
      <w:marLeft w:val="0"/>
      <w:marRight w:val="0"/>
      <w:marTop w:val="0"/>
      <w:marBottom w:val="0"/>
      <w:divBdr>
        <w:top w:val="none" w:sz="0" w:space="0" w:color="auto"/>
        <w:left w:val="none" w:sz="0" w:space="0" w:color="auto"/>
        <w:bottom w:val="none" w:sz="0" w:space="0" w:color="auto"/>
        <w:right w:val="none" w:sz="0" w:space="0" w:color="auto"/>
      </w:divBdr>
    </w:div>
    <w:div w:id="21200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Layout" Target="diagrams/layout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publication/accessible-information-standard-specification/" TargetMode="External"/><Relationship Id="rId3" Type="http://schemas.openxmlformats.org/officeDocument/2006/relationships/hyperlink" Target="https://www.makingeverycontactcount.co.uk/" TargetMode="External"/><Relationship Id="rId7" Type="http://schemas.openxmlformats.org/officeDocument/2006/relationships/hyperlink" Target="https://www.gov.uk/government/publications/high-quality-care-for-all-nhs-next-stage-review-final-report" TargetMode="External"/><Relationship Id="rId12" Type="http://schemas.openxmlformats.org/officeDocument/2006/relationships/hyperlink" Target="https://www.kingsfund.org.uk/blog/2016/11/producing-quality-patient-information" TargetMode="External"/><Relationship Id="rId2" Type="http://schemas.openxmlformats.org/officeDocument/2006/relationships/hyperlink" Target="https://www.england.nhs.uk/tis/" TargetMode="External"/><Relationship Id="rId1" Type="http://schemas.openxmlformats.org/officeDocument/2006/relationships/hyperlink" Target="http://www.artcare.salisbury.nhs.uk/projects.htm" TargetMode="External"/><Relationship Id="rId6" Type="http://schemas.openxmlformats.org/officeDocument/2006/relationships/hyperlink" Target="https://www.nice.org.uk/guidance/qs15" TargetMode="External"/><Relationship Id="rId11" Type="http://schemas.openxmlformats.org/officeDocument/2006/relationships/hyperlink" Target="https://www.legislation.gov.uk/ukpga/2008/14/contents" TargetMode="External"/><Relationship Id="rId5" Type="http://schemas.openxmlformats.org/officeDocument/2006/relationships/hyperlink" Target="https://assets.publishing.service.gov.uk/government/uploads/system/uploads/attachment_data/file/213823/dh_117794.pdf" TargetMode="External"/><Relationship Id="rId10" Type="http://schemas.openxmlformats.org/officeDocument/2006/relationships/hyperlink" Target="https://www.nhs.uk/using-the-nhs/about-the-nhs/quality-accounts/about-quality-accounts/" TargetMode="External"/><Relationship Id="rId4" Type="http://schemas.openxmlformats.org/officeDocument/2006/relationships/hyperlink" Target="https://www.longtermplan.nhs.uk/wp-content/uploads/2019/01/nhs-long-term-plan.pdf" TargetMode="External"/><Relationship Id="rId9" Type="http://schemas.openxmlformats.org/officeDocument/2006/relationships/hyperlink" Target="https://www.gov.uk/government/publications/nhs-outcomes-framework-2015-to-2016" TargetMode="External"/><Relationship Id="rId14" Type="http://schemas.openxmlformats.org/officeDocument/2006/relationships/hyperlink" Target="https://www.england.nhs.uk/participation/resources/ladder-of-engagement-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3791C6-5A88-48D6-B28D-735531AA6DFE}" type="doc">
      <dgm:prSet loTypeId="urn:microsoft.com/office/officeart/2005/8/layout/hList6" loCatId="list" qsTypeId="urn:microsoft.com/office/officeart/2005/8/quickstyle/3d2" qsCatId="3D" csTypeId="urn:microsoft.com/office/officeart/2005/8/colors/accent1_2" csCatId="accent1" phldr="1"/>
      <dgm:spPr/>
      <dgm:t>
        <a:bodyPr/>
        <a:lstStyle/>
        <a:p>
          <a:endParaRPr lang="en-GB"/>
        </a:p>
      </dgm:t>
    </dgm:pt>
    <dgm:pt modelId="{CD3904B5-C4DF-49D8-B344-5DE402359C5F}">
      <dgm:prSet phldrT="[Text]"/>
      <dgm:spPr/>
      <dgm:t>
        <a:bodyPr/>
        <a:lstStyle/>
        <a:p>
          <a:r>
            <a:rPr lang="en-GB" b="1"/>
            <a:t>Informing</a:t>
          </a:r>
        </a:p>
      </dgm:t>
    </dgm:pt>
    <dgm:pt modelId="{15EE87F8-F162-46F6-BC1B-445486C9396B}" type="parTrans" cxnId="{03ECFD9D-144E-43AE-8FCC-082202AD0674}">
      <dgm:prSet/>
      <dgm:spPr/>
      <dgm:t>
        <a:bodyPr/>
        <a:lstStyle/>
        <a:p>
          <a:endParaRPr lang="en-GB"/>
        </a:p>
      </dgm:t>
    </dgm:pt>
    <dgm:pt modelId="{A6DC8DB3-5746-4D40-A8CB-1CD2F1313361}" type="sibTrans" cxnId="{03ECFD9D-144E-43AE-8FCC-082202AD0674}">
      <dgm:prSet/>
      <dgm:spPr/>
      <dgm:t>
        <a:bodyPr/>
        <a:lstStyle/>
        <a:p>
          <a:endParaRPr lang="en-GB"/>
        </a:p>
      </dgm:t>
    </dgm:pt>
    <dgm:pt modelId="{ACCAE3C3-D696-423F-9CCC-7B66A4C6D196}">
      <dgm:prSet phldrT="[Text]"/>
      <dgm:spPr/>
      <dgm:t>
        <a:bodyPr/>
        <a:lstStyle/>
        <a:p>
          <a:r>
            <a:rPr lang="en-GB"/>
            <a:t>websites</a:t>
          </a:r>
        </a:p>
      </dgm:t>
    </dgm:pt>
    <dgm:pt modelId="{FC8A899D-9654-4A88-9B4F-341626A9C7AF}" type="parTrans" cxnId="{B946E6FD-A402-4DB2-8822-862D28C94C31}">
      <dgm:prSet/>
      <dgm:spPr/>
      <dgm:t>
        <a:bodyPr/>
        <a:lstStyle/>
        <a:p>
          <a:endParaRPr lang="en-GB"/>
        </a:p>
      </dgm:t>
    </dgm:pt>
    <dgm:pt modelId="{F61C9477-F182-49C5-BEF2-30EFF17C3075}" type="sibTrans" cxnId="{B946E6FD-A402-4DB2-8822-862D28C94C31}">
      <dgm:prSet/>
      <dgm:spPr/>
      <dgm:t>
        <a:bodyPr/>
        <a:lstStyle/>
        <a:p>
          <a:endParaRPr lang="en-GB"/>
        </a:p>
      </dgm:t>
    </dgm:pt>
    <dgm:pt modelId="{246591CD-7D73-42F1-875A-FD1441438457}">
      <dgm:prSet phldrT="[Text]"/>
      <dgm:spPr/>
      <dgm:t>
        <a:bodyPr/>
        <a:lstStyle/>
        <a:p>
          <a:r>
            <a:rPr lang="en-GB" b="1"/>
            <a:t>Consulting</a:t>
          </a:r>
        </a:p>
      </dgm:t>
    </dgm:pt>
    <dgm:pt modelId="{5FE3508E-B489-4241-9F04-570EE4B7F537}" type="parTrans" cxnId="{7D5CAB1F-56B0-4572-89DA-B60EBF25E098}">
      <dgm:prSet/>
      <dgm:spPr/>
      <dgm:t>
        <a:bodyPr/>
        <a:lstStyle/>
        <a:p>
          <a:endParaRPr lang="en-GB"/>
        </a:p>
      </dgm:t>
    </dgm:pt>
    <dgm:pt modelId="{B1FD176E-A0F2-495C-BE6F-BB4BB4706B1B}" type="sibTrans" cxnId="{7D5CAB1F-56B0-4572-89DA-B60EBF25E098}">
      <dgm:prSet/>
      <dgm:spPr/>
      <dgm:t>
        <a:bodyPr/>
        <a:lstStyle/>
        <a:p>
          <a:endParaRPr lang="en-GB"/>
        </a:p>
      </dgm:t>
    </dgm:pt>
    <dgm:pt modelId="{BDF3A6E1-A4EB-4D6A-923C-F4FED871262B}">
      <dgm:prSet phldrT="[Text]"/>
      <dgm:spPr/>
      <dgm:t>
        <a:bodyPr/>
        <a:lstStyle/>
        <a:p>
          <a:r>
            <a:rPr lang="en-GB"/>
            <a:t>surveys</a:t>
          </a:r>
        </a:p>
      </dgm:t>
    </dgm:pt>
    <dgm:pt modelId="{35BF9928-73DE-40E3-97C6-39900619248B}" type="parTrans" cxnId="{00A48C0B-14AF-4AE7-BEA1-97F83CC94569}">
      <dgm:prSet/>
      <dgm:spPr/>
      <dgm:t>
        <a:bodyPr/>
        <a:lstStyle/>
        <a:p>
          <a:endParaRPr lang="en-GB"/>
        </a:p>
      </dgm:t>
    </dgm:pt>
    <dgm:pt modelId="{80CA0C7E-BCF4-4471-B9CE-86385B8B7DB8}" type="sibTrans" cxnId="{00A48C0B-14AF-4AE7-BEA1-97F83CC94569}">
      <dgm:prSet/>
      <dgm:spPr/>
      <dgm:t>
        <a:bodyPr/>
        <a:lstStyle/>
        <a:p>
          <a:endParaRPr lang="en-GB"/>
        </a:p>
      </dgm:t>
    </dgm:pt>
    <dgm:pt modelId="{D63963E3-083E-494B-B08A-68AD8DF437BE}">
      <dgm:prSet phldrT="[Text]"/>
      <dgm:spPr/>
      <dgm:t>
        <a:bodyPr/>
        <a:lstStyle/>
        <a:p>
          <a:r>
            <a:rPr lang="en-GB" b="1"/>
            <a:t>Involving</a:t>
          </a:r>
        </a:p>
      </dgm:t>
    </dgm:pt>
    <dgm:pt modelId="{10A3AC1D-49FB-4E78-A73F-EF2A3BC1F421}" type="parTrans" cxnId="{8EB9C552-A7CB-4E3D-97C2-2C52E1F27F93}">
      <dgm:prSet/>
      <dgm:spPr/>
      <dgm:t>
        <a:bodyPr/>
        <a:lstStyle/>
        <a:p>
          <a:endParaRPr lang="en-GB"/>
        </a:p>
      </dgm:t>
    </dgm:pt>
    <dgm:pt modelId="{0F7BD3B0-ABCC-44AA-B4BD-46808DD2898E}" type="sibTrans" cxnId="{8EB9C552-A7CB-4E3D-97C2-2C52E1F27F93}">
      <dgm:prSet/>
      <dgm:spPr/>
      <dgm:t>
        <a:bodyPr/>
        <a:lstStyle/>
        <a:p>
          <a:endParaRPr lang="en-GB"/>
        </a:p>
      </dgm:t>
    </dgm:pt>
    <dgm:pt modelId="{0FE977B3-006E-4214-9225-30B1A5759B75}">
      <dgm:prSet phldrT="[Text]"/>
      <dgm:spPr/>
      <dgm:t>
        <a:bodyPr/>
        <a:lstStyle/>
        <a:p>
          <a:r>
            <a:rPr lang="en-GB"/>
            <a:t>patients participating in policy groups</a:t>
          </a:r>
        </a:p>
      </dgm:t>
    </dgm:pt>
    <dgm:pt modelId="{BF01757D-9BD3-4729-9A5D-6777B4773AB0}" type="parTrans" cxnId="{476BB2A3-5E1F-4917-B9DD-8A7CF1801098}">
      <dgm:prSet/>
      <dgm:spPr/>
      <dgm:t>
        <a:bodyPr/>
        <a:lstStyle/>
        <a:p>
          <a:endParaRPr lang="en-GB"/>
        </a:p>
      </dgm:t>
    </dgm:pt>
    <dgm:pt modelId="{C15F3BF0-851A-4067-9A15-E0ED94394BC7}" type="sibTrans" cxnId="{476BB2A3-5E1F-4917-B9DD-8A7CF1801098}">
      <dgm:prSet/>
      <dgm:spPr/>
      <dgm:t>
        <a:bodyPr/>
        <a:lstStyle/>
        <a:p>
          <a:endParaRPr lang="en-GB"/>
        </a:p>
      </dgm:t>
    </dgm:pt>
    <dgm:pt modelId="{64CADD30-9523-4B8E-B2A8-72DC6907773D}">
      <dgm:prSet phldrT="[Text]"/>
      <dgm:spPr/>
      <dgm:t>
        <a:bodyPr/>
        <a:lstStyle/>
        <a:p>
          <a:r>
            <a:rPr lang="en-GB"/>
            <a:t>newsletters</a:t>
          </a:r>
        </a:p>
      </dgm:t>
    </dgm:pt>
    <dgm:pt modelId="{CA7CFB7F-949B-494F-A48F-3ED8211E7E46}" type="parTrans" cxnId="{67B5694A-AD64-4614-9B98-742FC2D08147}">
      <dgm:prSet/>
      <dgm:spPr/>
      <dgm:t>
        <a:bodyPr/>
        <a:lstStyle/>
        <a:p>
          <a:endParaRPr lang="en-GB"/>
        </a:p>
      </dgm:t>
    </dgm:pt>
    <dgm:pt modelId="{E6DA9A1D-AD35-4592-92FD-84E65232F144}" type="sibTrans" cxnId="{67B5694A-AD64-4614-9B98-742FC2D08147}">
      <dgm:prSet/>
      <dgm:spPr/>
      <dgm:t>
        <a:bodyPr/>
        <a:lstStyle/>
        <a:p>
          <a:endParaRPr lang="en-GB"/>
        </a:p>
      </dgm:t>
    </dgm:pt>
    <dgm:pt modelId="{13E134B7-735F-4E8B-BED0-01E5F9948947}">
      <dgm:prSet phldrT="[Text]"/>
      <dgm:spPr/>
      <dgm:t>
        <a:bodyPr/>
        <a:lstStyle/>
        <a:p>
          <a:r>
            <a:rPr lang="en-GB"/>
            <a:t>patient information</a:t>
          </a:r>
        </a:p>
      </dgm:t>
    </dgm:pt>
    <dgm:pt modelId="{6C523784-F010-4846-B210-003290264A34}" type="parTrans" cxnId="{BC101E07-8C69-43F5-9BA2-6AD0A64AF265}">
      <dgm:prSet/>
      <dgm:spPr/>
      <dgm:t>
        <a:bodyPr/>
        <a:lstStyle/>
        <a:p>
          <a:endParaRPr lang="en-GB"/>
        </a:p>
      </dgm:t>
    </dgm:pt>
    <dgm:pt modelId="{7136B4B9-AC4B-4D82-8215-C361B1BF333F}" type="sibTrans" cxnId="{BC101E07-8C69-43F5-9BA2-6AD0A64AF265}">
      <dgm:prSet/>
      <dgm:spPr/>
      <dgm:t>
        <a:bodyPr/>
        <a:lstStyle/>
        <a:p>
          <a:endParaRPr lang="en-GB"/>
        </a:p>
      </dgm:t>
    </dgm:pt>
    <dgm:pt modelId="{F42AEC87-1693-447F-B21A-ECCE21370C29}">
      <dgm:prSet phldrT="[Text]"/>
      <dgm:spPr/>
      <dgm:t>
        <a:bodyPr/>
        <a:lstStyle/>
        <a:p>
          <a:r>
            <a:rPr lang="en-GB"/>
            <a:t>press releases</a:t>
          </a:r>
        </a:p>
      </dgm:t>
    </dgm:pt>
    <dgm:pt modelId="{12CEDEAC-FCF5-4BCB-8544-54CB17FBAD77}" type="parTrans" cxnId="{CCF1D734-20B5-4BBC-8242-0CECEDD63A2E}">
      <dgm:prSet/>
      <dgm:spPr/>
      <dgm:t>
        <a:bodyPr/>
        <a:lstStyle/>
        <a:p>
          <a:endParaRPr lang="en-GB"/>
        </a:p>
      </dgm:t>
    </dgm:pt>
    <dgm:pt modelId="{E11F7E66-C60C-45AD-876B-716520475B51}" type="sibTrans" cxnId="{CCF1D734-20B5-4BBC-8242-0CECEDD63A2E}">
      <dgm:prSet/>
      <dgm:spPr/>
      <dgm:t>
        <a:bodyPr/>
        <a:lstStyle/>
        <a:p>
          <a:endParaRPr lang="en-GB"/>
        </a:p>
      </dgm:t>
    </dgm:pt>
    <dgm:pt modelId="{232B00A5-1C30-4D7E-84FC-78E0FE89313B}">
      <dgm:prSet phldrT="[Text]"/>
      <dgm:spPr/>
      <dgm:t>
        <a:bodyPr/>
        <a:lstStyle/>
        <a:p>
          <a:r>
            <a:rPr lang="en-GB"/>
            <a:t>focus groups</a:t>
          </a:r>
        </a:p>
      </dgm:t>
    </dgm:pt>
    <dgm:pt modelId="{5FB1B7C5-CA94-4B5D-8C6F-469949C0CB17}" type="parTrans" cxnId="{1C047E35-6B60-4790-AC2D-9494DDDD077E}">
      <dgm:prSet/>
      <dgm:spPr/>
      <dgm:t>
        <a:bodyPr/>
        <a:lstStyle/>
        <a:p>
          <a:endParaRPr lang="en-GB"/>
        </a:p>
      </dgm:t>
    </dgm:pt>
    <dgm:pt modelId="{DF6FEE6C-94FA-4FCE-A9B5-8A7B6C121D7B}" type="sibTrans" cxnId="{1C047E35-6B60-4790-AC2D-9494DDDD077E}">
      <dgm:prSet/>
      <dgm:spPr/>
      <dgm:t>
        <a:bodyPr/>
        <a:lstStyle/>
        <a:p>
          <a:endParaRPr lang="en-GB"/>
        </a:p>
      </dgm:t>
    </dgm:pt>
    <dgm:pt modelId="{844BACE5-7C6B-4E71-9EB3-84D938AC11BA}">
      <dgm:prSet phldrT="[Text]"/>
      <dgm:spPr/>
      <dgm:t>
        <a:bodyPr/>
        <a:lstStyle/>
        <a:p>
          <a:r>
            <a:rPr lang="en-GB"/>
            <a:t>reference groups - for example the Readership Panel</a:t>
          </a:r>
        </a:p>
      </dgm:t>
    </dgm:pt>
    <dgm:pt modelId="{027FBF00-2863-4CD9-871B-50F6DAEE88DD}" type="parTrans" cxnId="{A2D26E4B-9EEE-4B5B-BAB5-9820BEAAFA6F}">
      <dgm:prSet/>
      <dgm:spPr/>
      <dgm:t>
        <a:bodyPr/>
        <a:lstStyle/>
        <a:p>
          <a:endParaRPr lang="en-GB"/>
        </a:p>
      </dgm:t>
    </dgm:pt>
    <dgm:pt modelId="{81F93C74-DDCF-4399-BFED-44A3A916F122}" type="sibTrans" cxnId="{A2D26E4B-9EEE-4B5B-BAB5-9820BEAAFA6F}">
      <dgm:prSet/>
      <dgm:spPr/>
      <dgm:t>
        <a:bodyPr/>
        <a:lstStyle/>
        <a:p>
          <a:endParaRPr lang="en-GB"/>
        </a:p>
      </dgm:t>
    </dgm:pt>
    <dgm:pt modelId="{DC929C9A-F810-4CE7-935C-F64537623076}">
      <dgm:prSet/>
      <dgm:spPr/>
      <dgm:t>
        <a:bodyPr/>
        <a:lstStyle/>
        <a:p>
          <a:r>
            <a:rPr lang="en-GB" b="1"/>
            <a:t>Devolving</a:t>
          </a:r>
        </a:p>
      </dgm:t>
    </dgm:pt>
    <dgm:pt modelId="{1335237E-BEAD-42EF-9DF2-3FB324CB0453}" type="parTrans" cxnId="{B2E9906A-AC8A-477F-8641-9E39BDDBE2C3}">
      <dgm:prSet/>
      <dgm:spPr/>
      <dgm:t>
        <a:bodyPr/>
        <a:lstStyle/>
        <a:p>
          <a:endParaRPr lang="en-GB"/>
        </a:p>
      </dgm:t>
    </dgm:pt>
    <dgm:pt modelId="{929FB180-14A1-40AB-9567-FB99ED8699E3}" type="sibTrans" cxnId="{B2E9906A-AC8A-477F-8641-9E39BDDBE2C3}">
      <dgm:prSet/>
      <dgm:spPr/>
      <dgm:t>
        <a:bodyPr/>
        <a:lstStyle/>
        <a:p>
          <a:endParaRPr lang="en-GB"/>
        </a:p>
      </dgm:t>
    </dgm:pt>
    <dgm:pt modelId="{FDB4E575-AE30-47FE-9F6D-8140E026ADC3}">
      <dgm:prSet/>
      <dgm:spPr/>
      <dgm:t>
        <a:bodyPr/>
        <a:lstStyle/>
        <a:p>
          <a:r>
            <a:rPr lang="en-GB"/>
            <a:t>Patients chairing boards</a:t>
          </a:r>
        </a:p>
      </dgm:t>
    </dgm:pt>
    <dgm:pt modelId="{4910D381-128C-4252-8927-840EC0003B9D}" type="parTrans" cxnId="{2067D40F-F9EC-48E3-A529-BEB2766229F3}">
      <dgm:prSet/>
      <dgm:spPr/>
      <dgm:t>
        <a:bodyPr/>
        <a:lstStyle/>
        <a:p>
          <a:endParaRPr lang="en-GB"/>
        </a:p>
      </dgm:t>
    </dgm:pt>
    <dgm:pt modelId="{CD6FF6DC-988F-48C5-BE18-8FD4EDBBAEF7}" type="sibTrans" cxnId="{2067D40F-F9EC-48E3-A529-BEB2766229F3}">
      <dgm:prSet/>
      <dgm:spPr/>
      <dgm:t>
        <a:bodyPr/>
        <a:lstStyle/>
        <a:p>
          <a:endParaRPr lang="en-GB"/>
        </a:p>
      </dgm:t>
    </dgm:pt>
    <dgm:pt modelId="{3AF7B937-FD8D-458F-83C2-D4C4DD911533}">
      <dgm:prSet/>
      <dgm:spPr/>
      <dgm:t>
        <a:bodyPr/>
        <a:lstStyle/>
        <a:p>
          <a:r>
            <a:rPr lang="en-GB" b="1"/>
            <a:t>Collaborating</a:t>
          </a:r>
        </a:p>
      </dgm:t>
    </dgm:pt>
    <dgm:pt modelId="{7EDC79BA-BAF3-4CF5-8AD2-F96A8E14AA02}" type="parTrans" cxnId="{D54FA75C-C0D7-42C7-83E5-1A1742CACB59}">
      <dgm:prSet/>
      <dgm:spPr/>
      <dgm:t>
        <a:bodyPr/>
        <a:lstStyle/>
        <a:p>
          <a:endParaRPr lang="en-GB"/>
        </a:p>
      </dgm:t>
    </dgm:pt>
    <dgm:pt modelId="{7546D458-A3B7-4310-B169-C83223490F1D}" type="sibTrans" cxnId="{D54FA75C-C0D7-42C7-83E5-1A1742CACB59}">
      <dgm:prSet/>
      <dgm:spPr/>
      <dgm:t>
        <a:bodyPr/>
        <a:lstStyle/>
        <a:p>
          <a:endParaRPr lang="en-GB"/>
        </a:p>
      </dgm:t>
    </dgm:pt>
    <dgm:pt modelId="{DA16875D-44B8-4936-9DE9-A64D642827FA}">
      <dgm:prSet/>
      <dgm:spPr/>
      <dgm:t>
        <a:bodyPr/>
        <a:lstStyle/>
        <a:p>
          <a:r>
            <a:rPr lang="en-GB"/>
            <a:t>patients shaping  decisions including develping alternatives and identification of the preferred solution</a:t>
          </a:r>
        </a:p>
      </dgm:t>
    </dgm:pt>
    <dgm:pt modelId="{CD6E3D0E-2E95-4D95-A140-3FF50FA450D7}" type="parTrans" cxnId="{B77405BD-ABA5-4262-8154-C760859D55E6}">
      <dgm:prSet/>
      <dgm:spPr/>
      <dgm:t>
        <a:bodyPr/>
        <a:lstStyle/>
        <a:p>
          <a:endParaRPr lang="en-GB"/>
        </a:p>
      </dgm:t>
    </dgm:pt>
    <dgm:pt modelId="{F8583320-D5D5-4EE4-8619-86C6D9188DEB}" type="sibTrans" cxnId="{B77405BD-ABA5-4262-8154-C760859D55E6}">
      <dgm:prSet/>
      <dgm:spPr/>
      <dgm:t>
        <a:bodyPr/>
        <a:lstStyle/>
        <a:p>
          <a:endParaRPr lang="en-GB"/>
        </a:p>
      </dgm:t>
    </dgm:pt>
    <dgm:pt modelId="{4D9B2060-9B7B-48D8-A2D2-B8D45DBF7379}">
      <dgm:prSet/>
      <dgm:spPr/>
      <dgm:t>
        <a:bodyPr/>
        <a:lstStyle/>
        <a:p>
          <a:r>
            <a:rPr lang="en-GB"/>
            <a:t>Patients on interview panels </a:t>
          </a:r>
        </a:p>
      </dgm:t>
    </dgm:pt>
    <dgm:pt modelId="{7AE9813B-AD3D-4474-83AC-0106D187F896}" type="parTrans" cxnId="{54EFEA6D-8A07-445B-AD48-F0D296AC0D94}">
      <dgm:prSet/>
      <dgm:spPr/>
      <dgm:t>
        <a:bodyPr/>
        <a:lstStyle/>
        <a:p>
          <a:endParaRPr lang="en-GB"/>
        </a:p>
      </dgm:t>
    </dgm:pt>
    <dgm:pt modelId="{202FE9B1-5571-4696-802B-CBA6E397CDB9}" type="sibTrans" cxnId="{54EFEA6D-8A07-445B-AD48-F0D296AC0D94}">
      <dgm:prSet/>
      <dgm:spPr/>
      <dgm:t>
        <a:bodyPr/>
        <a:lstStyle/>
        <a:p>
          <a:endParaRPr lang="en-GB"/>
        </a:p>
      </dgm:t>
    </dgm:pt>
    <dgm:pt modelId="{2042366E-F420-4AC5-8872-F07C032D67D0}">
      <dgm:prSet/>
      <dgm:spPr/>
      <dgm:t>
        <a:bodyPr/>
        <a:lstStyle/>
        <a:p>
          <a:r>
            <a:rPr lang="en-GB"/>
            <a:t>placing decision making in the hands of the community and individuals</a:t>
          </a:r>
        </a:p>
      </dgm:t>
    </dgm:pt>
    <dgm:pt modelId="{63044845-FA53-4C4F-B603-F7729CBCAF27}" type="parTrans" cxnId="{DE806349-80CC-4568-9B73-22E9FEF4C440}">
      <dgm:prSet/>
      <dgm:spPr/>
      <dgm:t>
        <a:bodyPr/>
        <a:lstStyle/>
        <a:p>
          <a:endParaRPr lang="en-GB"/>
        </a:p>
      </dgm:t>
    </dgm:pt>
    <dgm:pt modelId="{DFC28E50-E5BF-4121-9D85-654801C35A36}" type="sibTrans" cxnId="{DE806349-80CC-4568-9B73-22E9FEF4C440}">
      <dgm:prSet/>
      <dgm:spPr/>
      <dgm:t>
        <a:bodyPr/>
        <a:lstStyle/>
        <a:p>
          <a:endParaRPr lang="en-GB"/>
        </a:p>
      </dgm:t>
    </dgm:pt>
    <dgm:pt modelId="{B74BE14A-A46A-4886-840B-0219D9E7D157}" type="pres">
      <dgm:prSet presAssocID="{3B3791C6-5A88-48D6-B28D-735531AA6DFE}" presName="Name0" presStyleCnt="0">
        <dgm:presLayoutVars>
          <dgm:dir/>
          <dgm:resizeHandles val="exact"/>
        </dgm:presLayoutVars>
      </dgm:prSet>
      <dgm:spPr/>
      <dgm:t>
        <a:bodyPr/>
        <a:lstStyle/>
        <a:p>
          <a:endParaRPr lang="en-GB"/>
        </a:p>
      </dgm:t>
    </dgm:pt>
    <dgm:pt modelId="{D2103B17-5A5A-4588-9D7D-D3BADA4632C4}" type="pres">
      <dgm:prSet presAssocID="{CD3904B5-C4DF-49D8-B344-5DE402359C5F}" presName="node" presStyleLbl="node1" presStyleIdx="0" presStyleCnt="5">
        <dgm:presLayoutVars>
          <dgm:bulletEnabled val="1"/>
        </dgm:presLayoutVars>
      </dgm:prSet>
      <dgm:spPr/>
      <dgm:t>
        <a:bodyPr/>
        <a:lstStyle/>
        <a:p>
          <a:endParaRPr lang="en-GB"/>
        </a:p>
      </dgm:t>
    </dgm:pt>
    <dgm:pt modelId="{5D49A6F6-9D2A-4877-831F-007C61B8CA3C}" type="pres">
      <dgm:prSet presAssocID="{A6DC8DB3-5746-4D40-A8CB-1CD2F1313361}" presName="sibTrans" presStyleCnt="0"/>
      <dgm:spPr/>
    </dgm:pt>
    <dgm:pt modelId="{9BAC0E8C-80F0-4599-A583-48F8F6B1CF4F}" type="pres">
      <dgm:prSet presAssocID="{246591CD-7D73-42F1-875A-FD1441438457}" presName="node" presStyleLbl="node1" presStyleIdx="1" presStyleCnt="5">
        <dgm:presLayoutVars>
          <dgm:bulletEnabled val="1"/>
        </dgm:presLayoutVars>
      </dgm:prSet>
      <dgm:spPr/>
      <dgm:t>
        <a:bodyPr/>
        <a:lstStyle/>
        <a:p>
          <a:endParaRPr lang="en-GB"/>
        </a:p>
      </dgm:t>
    </dgm:pt>
    <dgm:pt modelId="{A548B8A7-A64F-4C9F-A58F-55312C126DC1}" type="pres">
      <dgm:prSet presAssocID="{B1FD176E-A0F2-495C-BE6F-BB4BB4706B1B}" presName="sibTrans" presStyleCnt="0"/>
      <dgm:spPr/>
    </dgm:pt>
    <dgm:pt modelId="{A4C64798-8043-498C-8AEA-C6895EA555B4}" type="pres">
      <dgm:prSet presAssocID="{D63963E3-083E-494B-B08A-68AD8DF437BE}" presName="node" presStyleLbl="node1" presStyleIdx="2" presStyleCnt="5">
        <dgm:presLayoutVars>
          <dgm:bulletEnabled val="1"/>
        </dgm:presLayoutVars>
      </dgm:prSet>
      <dgm:spPr/>
      <dgm:t>
        <a:bodyPr/>
        <a:lstStyle/>
        <a:p>
          <a:endParaRPr lang="en-GB"/>
        </a:p>
      </dgm:t>
    </dgm:pt>
    <dgm:pt modelId="{C063BB6B-3FBE-42DC-BEB1-724F309A8CBE}" type="pres">
      <dgm:prSet presAssocID="{0F7BD3B0-ABCC-44AA-B4BD-46808DD2898E}" presName="sibTrans" presStyleCnt="0"/>
      <dgm:spPr/>
    </dgm:pt>
    <dgm:pt modelId="{BD442694-5A4C-4B58-8651-90BF49CB0F0F}" type="pres">
      <dgm:prSet presAssocID="{3AF7B937-FD8D-458F-83C2-D4C4DD911533}" presName="node" presStyleLbl="node1" presStyleIdx="3" presStyleCnt="5">
        <dgm:presLayoutVars>
          <dgm:bulletEnabled val="1"/>
        </dgm:presLayoutVars>
      </dgm:prSet>
      <dgm:spPr/>
      <dgm:t>
        <a:bodyPr/>
        <a:lstStyle/>
        <a:p>
          <a:endParaRPr lang="en-GB"/>
        </a:p>
      </dgm:t>
    </dgm:pt>
    <dgm:pt modelId="{EFDEBC92-9885-4545-ABB6-356B4A3851B5}" type="pres">
      <dgm:prSet presAssocID="{7546D458-A3B7-4310-B169-C83223490F1D}" presName="sibTrans" presStyleCnt="0"/>
      <dgm:spPr/>
    </dgm:pt>
    <dgm:pt modelId="{6932A63D-E0E5-4399-A219-6A5837F83EB3}" type="pres">
      <dgm:prSet presAssocID="{DC929C9A-F810-4CE7-935C-F64537623076}" presName="node" presStyleLbl="node1" presStyleIdx="4" presStyleCnt="5">
        <dgm:presLayoutVars>
          <dgm:bulletEnabled val="1"/>
        </dgm:presLayoutVars>
      </dgm:prSet>
      <dgm:spPr/>
      <dgm:t>
        <a:bodyPr/>
        <a:lstStyle/>
        <a:p>
          <a:endParaRPr lang="en-GB"/>
        </a:p>
      </dgm:t>
    </dgm:pt>
  </dgm:ptLst>
  <dgm:cxnLst>
    <dgm:cxn modelId="{7D5CAB1F-56B0-4572-89DA-B60EBF25E098}" srcId="{3B3791C6-5A88-48D6-B28D-735531AA6DFE}" destId="{246591CD-7D73-42F1-875A-FD1441438457}" srcOrd="1" destOrd="0" parTransId="{5FE3508E-B489-4241-9F04-570EE4B7F537}" sibTransId="{B1FD176E-A0F2-495C-BE6F-BB4BB4706B1B}"/>
    <dgm:cxn modelId="{3C26E6DE-E302-42FC-A13F-9BD70443FFCE}" type="presOf" srcId="{2042366E-F420-4AC5-8872-F07C032D67D0}" destId="{6932A63D-E0E5-4399-A219-6A5837F83EB3}" srcOrd="0" destOrd="2" presId="urn:microsoft.com/office/officeart/2005/8/layout/hList6"/>
    <dgm:cxn modelId="{B77405BD-ABA5-4262-8154-C760859D55E6}" srcId="{3AF7B937-FD8D-458F-83C2-D4C4DD911533}" destId="{DA16875D-44B8-4936-9DE9-A64D642827FA}" srcOrd="0" destOrd="0" parTransId="{CD6E3D0E-2E95-4D95-A140-3FF50FA450D7}" sibTransId="{F8583320-D5D5-4EE4-8619-86C6D9188DEB}"/>
    <dgm:cxn modelId="{2067D40F-F9EC-48E3-A529-BEB2766229F3}" srcId="{DC929C9A-F810-4CE7-935C-F64537623076}" destId="{FDB4E575-AE30-47FE-9F6D-8140E026ADC3}" srcOrd="0" destOrd="0" parTransId="{4910D381-128C-4252-8927-840EC0003B9D}" sibTransId="{CD6FF6DC-988F-48C5-BE18-8FD4EDBBAEF7}"/>
    <dgm:cxn modelId="{1C047E35-6B60-4790-AC2D-9494DDDD077E}" srcId="{246591CD-7D73-42F1-875A-FD1441438457}" destId="{232B00A5-1C30-4D7E-84FC-78E0FE89313B}" srcOrd="1" destOrd="0" parTransId="{5FB1B7C5-CA94-4B5D-8C6F-469949C0CB17}" sibTransId="{DF6FEE6C-94FA-4FCE-A9B5-8A7B6C121D7B}"/>
    <dgm:cxn modelId="{11742779-2442-4E25-81F4-2ACB703E86D3}" type="presOf" srcId="{F42AEC87-1693-447F-B21A-ECCE21370C29}" destId="{D2103B17-5A5A-4588-9D7D-D3BADA4632C4}" srcOrd="0" destOrd="4" presId="urn:microsoft.com/office/officeart/2005/8/layout/hList6"/>
    <dgm:cxn modelId="{244A5A97-C3F1-4EB5-BC6A-1F20C80D2D94}" type="presOf" srcId="{CD3904B5-C4DF-49D8-B344-5DE402359C5F}" destId="{D2103B17-5A5A-4588-9D7D-D3BADA4632C4}" srcOrd="0" destOrd="0" presId="urn:microsoft.com/office/officeart/2005/8/layout/hList6"/>
    <dgm:cxn modelId="{8EB9C552-A7CB-4E3D-97C2-2C52E1F27F93}" srcId="{3B3791C6-5A88-48D6-B28D-735531AA6DFE}" destId="{D63963E3-083E-494B-B08A-68AD8DF437BE}" srcOrd="2" destOrd="0" parTransId="{10A3AC1D-49FB-4E78-A73F-EF2A3BC1F421}" sibTransId="{0F7BD3B0-ABCC-44AA-B4BD-46808DD2898E}"/>
    <dgm:cxn modelId="{82343C29-2B2B-43A4-ADF3-17DAEEFBAFA9}" type="presOf" srcId="{232B00A5-1C30-4D7E-84FC-78E0FE89313B}" destId="{9BAC0E8C-80F0-4599-A583-48F8F6B1CF4F}" srcOrd="0" destOrd="2" presId="urn:microsoft.com/office/officeart/2005/8/layout/hList6"/>
    <dgm:cxn modelId="{D1DA67D8-F676-4CFB-A34E-FEAE4844B59B}" type="presOf" srcId="{BDF3A6E1-A4EB-4D6A-923C-F4FED871262B}" destId="{9BAC0E8C-80F0-4599-A583-48F8F6B1CF4F}" srcOrd="0" destOrd="1" presId="urn:microsoft.com/office/officeart/2005/8/layout/hList6"/>
    <dgm:cxn modelId="{2B30B8C8-DE6B-446A-8EC0-16F052425858}" type="presOf" srcId="{0FE977B3-006E-4214-9225-30B1A5759B75}" destId="{A4C64798-8043-498C-8AEA-C6895EA555B4}" srcOrd="0" destOrd="1" presId="urn:microsoft.com/office/officeart/2005/8/layout/hList6"/>
    <dgm:cxn modelId="{F55D4FF9-A98E-4F82-94D4-5FC2B715072B}" type="presOf" srcId="{DA16875D-44B8-4936-9DE9-A64D642827FA}" destId="{BD442694-5A4C-4B58-8651-90BF49CB0F0F}" srcOrd="0" destOrd="1" presId="urn:microsoft.com/office/officeart/2005/8/layout/hList6"/>
    <dgm:cxn modelId="{67B5694A-AD64-4614-9B98-742FC2D08147}" srcId="{CD3904B5-C4DF-49D8-B344-5DE402359C5F}" destId="{64CADD30-9523-4B8E-B2A8-72DC6907773D}" srcOrd="1" destOrd="0" parTransId="{CA7CFB7F-949B-494F-A48F-3ED8211E7E46}" sibTransId="{E6DA9A1D-AD35-4592-92FD-84E65232F144}"/>
    <dgm:cxn modelId="{3BCF5A05-3D4C-4432-9DEA-FDCD2A504F15}" type="presOf" srcId="{246591CD-7D73-42F1-875A-FD1441438457}" destId="{9BAC0E8C-80F0-4599-A583-48F8F6B1CF4F}" srcOrd="0" destOrd="0" presId="urn:microsoft.com/office/officeart/2005/8/layout/hList6"/>
    <dgm:cxn modelId="{BC101E07-8C69-43F5-9BA2-6AD0A64AF265}" srcId="{CD3904B5-C4DF-49D8-B344-5DE402359C5F}" destId="{13E134B7-735F-4E8B-BED0-01E5F9948947}" srcOrd="2" destOrd="0" parTransId="{6C523784-F010-4846-B210-003290264A34}" sibTransId="{7136B4B9-AC4B-4D82-8215-C361B1BF333F}"/>
    <dgm:cxn modelId="{E2A8DA3A-58C1-45C0-98EB-35A06568BE7A}" type="presOf" srcId="{DC929C9A-F810-4CE7-935C-F64537623076}" destId="{6932A63D-E0E5-4399-A219-6A5837F83EB3}" srcOrd="0" destOrd="0" presId="urn:microsoft.com/office/officeart/2005/8/layout/hList6"/>
    <dgm:cxn modelId="{1D1519CC-655B-424B-8EDB-FD7608949546}" type="presOf" srcId="{13E134B7-735F-4E8B-BED0-01E5F9948947}" destId="{D2103B17-5A5A-4588-9D7D-D3BADA4632C4}" srcOrd="0" destOrd="3" presId="urn:microsoft.com/office/officeart/2005/8/layout/hList6"/>
    <dgm:cxn modelId="{A68E7318-7325-429A-8FEE-45E3F2CE3769}" type="presOf" srcId="{844BACE5-7C6B-4E71-9EB3-84D938AC11BA}" destId="{A4C64798-8043-498C-8AEA-C6895EA555B4}" srcOrd="0" destOrd="2" presId="urn:microsoft.com/office/officeart/2005/8/layout/hList6"/>
    <dgm:cxn modelId="{476BB2A3-5E1F-4917-B9DD-8A7CF1801098}" srcId="{D63963E3-083E-494B-B08A-68AD8DF437BE}" destId="{0FE977B3-006E-4214-9225-30B1A5759B75}" srcOrd="0" destOrd="0" parTransId="{BF01757D-9BD3-4729-9A5D-6777B4773AB0}" sibTransId="{C15F3BF0-851A-4067-9A15-E0ED94394BC7}"/>
    <dgm:cxn modelId="{5E0F4ED7-52F3-40C6-86EC-B369E81FFADD}" type="presOf" srcId="{3AF7B937-FD8D-458F-83C2-D4C4DD911533}" destId="{BD442694-5A4C-4B58-8651-90BF49CB0F0F}" srcOrd="0" destOrd="0" presId="urn:microsoft.com/office/officeart/2005/8/layout/hList6"/>
    <dgm:cxn modelId="{8D2763D2-9402-4F3D-A6B2-341AA3231CC7}" type="presOf" srcId="{3B3791C6-5A88-48D6-B28D-735531AA6DFE}" destId="{B74BE14A-A46A-4886-840B-0219D9E7D157}" srcOrd="0" destOrd="0" presId="urn:microsoft.com/office/officeart/2005/8/layout/hList6"/>
    <dgm:cxn modelId="{DE806349-80CC-4568-9B73-22E9FEF4C440}" srcId="{DC929C9A-F810-4CE7-935C-F64537623076}" destId="{2042366E-F420-4AC5-8872-F07C032D67D0}" srcOrd="1" destOrd="0" parTransId="{63044845-FA53-4C4F-B603-F7729CBCAF27}" sibTransId="{DFC28E50-E5BF-4121-9D85-654801C35A36}"/>
    <dgm:cxn modelId="{D54FA75C-C0D7-42C7-83E5-1A1742CACB59}" srcId="{3B3791C6-5A88-48D6-B28D-735531AA6DFE}" destId="{3AF7B937-FD8D-458F-83C2-D4C4DD911533}" srcOrd="3" destOrd="0" parTransId="{7EDC79BA-BAF3-4CF5-8AD2-F96A8E14AA02}" sibTransId="{7546D458-A3B7-4310-B169-C83223490F1D}"/>
    <dgm:cxn modelId="{CCF1D734-20B5-4BBC-8242-0CECEDD63A2E}" srcId="{CD3904B5-C4DF-49D8-B344-5DE402359C5F}" destId="{F42AEC87-1693-447F-B21A-ECCE21370C29}" srcOrd="3" destOrd="0" parTransId="{12CEDEAC-FCF5-4BCB-8544-54CB17FBAD77}" sibTransId="{E11F7E66-C60C-45AD-876B-716520475B51}"/>
    <dgm:cxn modelId="{BC203E5F-5FC9-4725-A16F-F836B3DCD8C4}" type="presOf" srcId="{FDB4E575-AE30-47FE-9F6D-8140E026ADC3}" destId="{6932A63D-E0E5-4399-A219-6A5837F83EB3}" srcOrd="0" destOrd="1" presId="urn:microsoft.com/office/officeart/2005/8/layout/hList6"/>
    <dgm:cxn modelId="{812A6E94-F0BE-4763-8863-67AFA042A43E}" type="presOf" srcId="{4D9B2060-9B7B-48D8-A2D2-B8D45DBF7379}" destId="{BD442694-5A4C-4B58-8651-90BF49CB0F0F}" srcOrd="0" destOrd="2" presId="urn:microsoft.com/office/officeart/2005/8/layout/hList6"/>
    <dgm:cxn modelId="{03ECFD9D-144E-43AE-8FCC-082202AD0674}" srcId="{3B3791C6-5A88-48D6-B28D-735531AA6DFE}" destId="{CD3904B5-C4DF-49D8-B344-5DE402359C5F}" srcOrd="0" destOrd="0" parTransId="{15EE87F8-F162-46F6-BC1B-445486C9396B}" sibTransId="{A6DC8DB3-5746-4D40-A8CB-1CD2F1313361}"/>
    <dgm:cxn modelId="{00A48C0B-14AF-4AE7-BEA1-97F83CC94569}" srcId="{246591CD-7D73-42F1-875A-FD1441438457}" destId="{BDF3A6E1-A4EB-4D6A-923C-F4FED871262B}" srcOrd="0" destOrd="0" parTransId="{35BF9928-73DE-40E3-97C6-39900619248B}" sibTransId="{80CA0C7E-BCF4-4471-B9CE-86385B8B7DB8}"/>
    <dgm:cxn modelId="{A2D26E4B-9EEE-4B5B-BAB5-9820BEAAFA6F}" srcId="{D63963E3-083E-494B-B08A-68AD8DF437BE}" destId="{844BACE5-7C6B-4E71-9EB3-84D938AC11BA}" srcOrd="1" destOrd="0" parTransId="{027FBF00-2863-4CD9-871B-50F6DAEE88DD}" sibTransId="{81F93C74-DDCF-4399-BFED-44A3A916F122}"/>
    <dgm:cxn modelId="{F1DFF05A-54D4-46A2-9709-5CD44E0C522A}" type="presOf" srcId="{64CADD30-9523-4B8E-B2A8-72DC6907773D}" destId="{D2103B17-5A5A-4588-9D7D-D3BADA4632C4}" srcOrd="0" destOrd="2" presId="urn:microsoft.com/office/officeart/2005/8/layout/hList6"/>
    <dgm:cxn modelId="{E5EEFA63-6C32-48D2-8A57-D3D012259FD1}" type="presOf" srcId="{ACCAE3C3-D696-423F-9CCC-7B66A4C6D196}" destId="{D2103B17-5A5A-4588-9D7D-D3BADA4632C4}" srcOrd="0" destOrd="1" presId="urn:microsoft.com/office/officeart/2005/8/layout/hList6"/>
    <dgm:cxn modelId="{B946E6FD-A402-4DB2-8822-862D28C94C31}" srcId="{CD3904B5-C4DF-49D8-B344-5DE402359C5F}" destId="{ACCAE3C3-D696-423F-9CCC-7B66A4C6D196}" srcOrd="0" destOrd="0" parTransId="{FC8A899D-9654-4A88-9B4F-341626A9C7AF}" sibTransId="{F61C9477-F182-49C5-BEF2-30EFF17C3075}"/>
    <dgm:cxn modelId="{E84868F1-4F8D-4A4B-92BA-3408F7863549}" type="presOf" srcId="{D63963E3-083E-494B-B08A-68AD8DF437BE}" destId="{A4C64798-8043-498C-8AEA-C6895EA555B4}" srcOrd="0" destOrd="0" presId="urn:microsoft.com/office/officeart/2005/8/layout/hList6"/>
    <dgm:cxn modelId="{B2E9906A-AC8A-477F-8641-9E39BDDBE2C3}" srcId="{3B3791C6-5A88-48D6-B28D-735531AA6DFE}" destId="{DC929C9A-F810-4CE7-935C-F64537623076}" srcOrd="4" destOrd="0" parTransId="{1335237E-BEAD-42EF-9DF2-3FB324CB0453}" sibTransId="{929FB180-14A1-40AB-9567-FB99ED8699E3}"/>
    <dgm:cxn modelId="{54EFEA6D-8A07-445B-AD48-F0D296AC0D94}" srcId="{3AF7B937-FD8D-458F-83C2-D4C4DD911533}" destId="{4D9B2060-9B7B-48D8-A2D2-B8D45DBF7379}" srcOrd="1" destOrd="0" parTransId="{7AE9813B-AD3D-4474-83AC-0106D187F896}" sibTransId="{202FE9B1-5571-4696-802B-CBA6E397CDB9}"/>
    <dgm:cxn modelId="{9C0CFE42-665E-4B39-9E3F-90656DB7D873}" type="presParOf" srcId="{B74BE14A-A46A-4886-840B-0219D9E7D157}" destId="{D2103B17-5A5A-4588-9D7D-D3BADA4632C4}" srcOrd="0" destOrd="0" presId="urn:microsoft.com/office/officeart/2005/8/layout/hList6"/>
    <dgm:cxn modelId="{B0B65150-AC62-4654-8049-EB90CA5ED7D3}" type="presParOf" srcId="{B74BE14A-A46A-4886-840B-0219D9E7D157}" destId="{5D49A6F6-9D2A-4877-831F-007C61B8CA3C}" srcOrd="1" destOrd="0" presId="urn:microsoft.com/office/officeart/2005/8/layout/hList6"/>
    <dgm:cxn modelId="{80BD1CBF-273A-4D70-B71C-2276D5C08DD6}" type="presParOf" srcId="{B74BE14A-A46A-4886-840B-0219D9E7D157}" destId="{9BAC0E8C-80F0-4599-A583-48F8F6B1CF4F}" srcOrd="2" destOrd="0" presId="urn:microsoft.com/office/officeart/2005/8/layout/hList6"/>
    <dgm:cxn modelId="{95749944-F2FD-4CCA-9677-87A920DE7455}" type="presParOf" srcId="{B74BE14A-A46A-4886-840B-0219D9E7D157}" destId="{A548B8A7-A64F-4C9F-A58F-55312C126DC1}" srcOrd="3" destOrd="0" presId="urn:microsoft.com/office/officeart/2005/8/layout/hList6"/>
    <dgm:cxn modelId="{1C97321A-71E6-4924-9C05-E0E636947339}" type="presParOf" srcId="{B74BE14A-A46A-4886-840B-0219D9E7D157}" destId="{A4C64798-8043-498C-8AEA-C6895EA555B4}" srcOrd="4" destOrd="0" presId="urn:microsoft.com/office/officeart/2005/8/layout/hList6"/>
    <dgm:cxn modelId="{9DA10B7D-858A-416F-8889-622DFCBE2CE9}" type="presParOf" srcId="{B74BE14A-A46A-4886-840B-0219D9E7D157}" destId="{C063BB6B-3FBE-42DC-BEB1-724F309A8CBE}" srcOrd="5" destOrd="0" presId="urn:microsoft.com/office/officeart/2005/8/layout/hList6"/>
    <dgm:cxn modelId="{72D1C520-D9F9-470C-8EF4-774D92410422}" type="presParOf" srcId="{B74BE14A-A46A-4886-840B-0219D9E7D157}" destId="{BD442694-5A4C-4B58-8651-90BF49CB0F0F}" srcOrd="6" destOrd="0" presId="urn:microsoft.com/office/officeart/2005/8/layout/hList6"/>
    <dgm:cxn modelId="{B7F1F436-03AD-481D-A265-55229C826A7B}" type="presParOf" srcId="{B74BE14A-A46A-4886-840B-0219D9E7D157}" destId="{EFDEBC92-9885-4545-ABB6-356B4A3851B5}" srcOrd="7" destOrd="0" presId="urn:microsoft.com/office/officeart/2005/8/layout/hList6"/>
    <dgm:cxn modelId="{DDE37C50-2264-4001-AB33-66B062A23676}" type="presParOf" srcId="{B74BE14A-A46A-4886-840B-0219D9E7D157}" destId="{6932A63D-E0E5-4399-A219-6A5837F83EB3}" srcOrd="8" destOrd="0" presId="urn:microsoft.com/office/officeart/2005/8/layout/h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03B17-5A5A-4588-9D7D-D3BADA4632C4}">
      <dsp:nvSpPr>
        <dsp:cNvPr id="0" name=""/>
        <dsp:cNvSpPr/>
      </dsp:nvSpPr>
      <dsp:spPr>
        <a:xfrm rot="16200000">
          <a:off x="-1080224"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Informing</a:t>
          </a:r>
        </a:p>
        <a:p>
          <a:pPr marL="57150" lvl="1" indent="-57150" algn="l" defTabSz="400050">
            <a:lnSpc>
              <a:spcPct val="90000"/>
            </a:lnSpc>
            <a:spcBef>
              <a:spcPct val="0"/>
            </a:spcBef>
            <a:spcAft>
              <a:spcPct val="15000"/>
            </a:spcAft>
            <a:buChar char="••"/>
          </a:pPr>
          <a:r>
            <a:rPr lang="en-GB" sz="900" kern="1200"/>
            <a:t>websites</a:t>
          </a:r>
        </a:p>
        <a:p>
          <a:pPr marL="57150" lvl="1" indent="-57150" algn="l" defTabSz="400050">
            <a:lnSpc>
              <a:spcPct val="90000"/>
            </a:lnSpc>
            <a:spcBef>
              <a:spcPct val="0"/>
            </a:spcBef>
            <a:spcAft>
              <a:spcPct val="15000"/>
            </a:spcAft>
            <a:buChar char="••"/>
          </a:pPr>
          <a:r>
            <a:rPr lang="en-GB" sz="900" kern="1200"/>
            <a:t>newsletters</a:t>
          </a:r>
        </a:p>
        <a:p>
          <a:pPr marL="57150" lvl="1" indent="-57150" algn="l" defTabSz="400050">
            <a:lnSpc>
              <a:spcPct val="90000"/>
            </a:lnSpc>
            <a:spcBef>
              <a:spcPct val="0"/>
            </a:spcBef>
            <a:spcAft>
              <a:spcPct val="15000"/>
            </a:spcAft>
            <a:buChar char="••"/>
          </a:pPr>
          <a:r>
            <a:rPr lang="en-GB" sz="900" kern="1200"/>
            <a:t>patient information</a:t>
          </a:r>
        </a:p>
        <a:p>
          <a:pPr marL="57150" lvl="1" indent="-57150" algn="l" defTabSz="400050">
            <a:lnSpc>
              <a:spcPct val="90000"/>
            </a:lnSpc>
            <a:spcBef>
              <a:spcPct val="0"/>
            </a:spcBef>
            <a:spcAft>
              <a:spcPct val="15000"/>
            </a:spcAft>
            <a:buChar char="••"/>
          </a:pPr>
          <a:r>
            <a:rPr lang="en-GB" sz="900" kern="1200"/>
            <a:t>press releases</a:t>
          </a:r>
        </a:p>
      </dsp:txBody>
      <dsp:txXfrm rot="5400000">
        <a:off x="2947" y="640080"/>
        <a:ext cx="1034057" cy="1920240"/>
      </dsp:txXfrm>
    </dsp:sp>
    <dsp:sp modelId="{9BAC0E8C-80F0-4599-A583-48F8F6B1CF4F}">
      <dsp:nvSpPr>
        <dsp:cNvPr id="0" name=""/>
        <dsp:cNvSpPr/>
      </dsp:nvSpPr>
      <dsp:spPr>
        <a:xfrm rot="16200000">
          <a:off x="31387"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Consulting</a:t>
          </a:r>
        </a:p>
        <a:p>
          <a:pPr marL="57150" lvl="1" indent="-57150" algn="l" defTabSz="400050">
            <a:lnSpc>
              <a:spcPct val="90000"/>
            </a:lnSpc>
            <a:spcBef>
              <a:spcPct val="0"/>
            </a:spcBef>
            <a:spcAft>
              <a:spcPct val="15000"/>
            </a:spcAft>
            <a:buChar char="••"/>
          </a:pPr>
          <a:r>
            <a:rPr lang="en-GB" sz="900" kern="1200"/>
            <a:t>surveys</a:t>
          </a:r>
        </a:p>
        <a:p>
          <a:pPr marL="57150" lvl="1" indent="-57150" algn="l" defTabSz="400050">
            <a:lnSpc>
              <a:spcPct val="90000"/>
            </a:lnSpc>
            <a:spcBef>
              <a:spcPct val="0"/>
            </a:spcBef>
            <a:spcAft>
              <a:spcPct val="15000"/>
            </a:spcAft>
            <a:buChar char="••"/>
          </a:pPr>
          <a:r>
            <a:rPr lang="en-GB" sz="900" kern="1200"/>
            <a:t>focus groups</a:t>
          </a:r>
        </a:p>
      </dsp:txBody>
      <dsp:txXfrm rot="5400000">
        <a:off x="1114558" y="640080"/>
        <a:ext cx="1034057" cy="1920240"/>
      </dsp:txXfrm>
    </dsp:sp>
    <dsp:sp modelId="{A4C64798-8043-498C-8AEA-C6895EA555B4}">
      <dsp:nvSpPr>
        <dsp:cNvPr id="0" name=""/>
        <dsp:cNvSpPr/>
      </dsp:nvSpPr>
      <dsp:spPr>
        <a:xfrm rot="16200000">
          <a:off x="1143000"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Involving</a:t>
          </a:r>
        </a:p>
        <a:p>
          <a:pPr marL="57150" lvl="1" indent="-57150" algn="l" defTabSz="400050">
            <a:lnSpc>
              <a:spcPct val="90000"/>
            </a:lnSpc>
            <a:spcBef>
              <a:spcPct val="0"/>
            </a:spcBef>
            <a:spcAft>
              <a:spcPct val="15000"/>
            </a:spcAft>
            <a:buChar char="••"/>
          </a:pPr>
          <a:r>
            <a:rPr lang="en-GB" sz="900" kern="1200"/>
            <a:t>patients participating in policy groups</a:t>
          </a:r>
        </a:p>
        <a:p>
          <a:pPr marL="57150" lvl="1" indent="-57150" algn="l" defTabSz="400050">
            <a:lnSpc>
              <a:spcPct val="90000"/>
            </a:lnSpc>
            <a:spcBef>
              <a:spcPct val="0"/>
            </a:spcBef>
            <a:spcAft>
              <a:spcPct val="15000"/>
            </a:spcAft>
            <a:buChar char="••"/>
          </a:pPr>
          <a:r>
            <a:rPr lang="en-GB" sz="900" kern="1200"/>
            <a:t>reference groups - for example the Readership Panel</a:t>
          </a:r>
        </a:p>
      </dsp:txBody>
      <dsp:txXfrm rot="5400000">
        <a:off x="2226171" y="640080"/>
        <a:ext cx="1034057" cy="1920240"/>
      </dsp:txXfrm>
    </dsp:sp>
    <dsp:sp modelId="{BD442694-5A4C-4B58-8651-90BF49CB0F0F}">
      <dsp:nvSpPr>
        <dsp:cNvPr id="0" name=""/>
        <dsp:cNvSpPr/>
      </dsp:nvSpPr>
      <dsp:spPr>
        <a:xfrm rot="16200000">
          <a:off x="2254612"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Collaborating</a:t>
          </a:r>
        </a:p>
        <a:p>
          <a:pPr marL="57150" lvl="1" indent="-57150" algn="l" defTabSz="400050">
            <a:lnSpc>
              <a:spcPct val="90000"/>
            </a:lnSpc>
            <a:spcBef>
              <a:spcPct val="0"/>
            </a:spcBef>
            <a:spcAft>
              <a:spcPct val="15000"/>
            </a:spcAft>
            <a:buChar char="••"/>
          </a:pPr>
          <a:r>
            <a:rPr lang="en-GB" sz="900" kern="1200"/>
            <a:t>patients shaping  decisions including develping alternatives and identification of the preferred solution</a:t>
          </a:r>
        </a:p>
        <a:p>
          <a:pPr marL="57150" lvl="1" indent="-57150" algn="l" defTabSz="400050">
            <a:lnSpc>
              <a:spcPct val="90000"/>
            </a:lnSpc>
            <a:spcBef>
              <a:spcPct val="0"/>
            </a:spcBef>
            <a:spcAft>
              <a:spcPct val="15000"/>
            </a:spcAft>
            <a:buChar char="••"/>
          </a:pPr>
          <a:r>
            <a:rPr lang="en-GB" sz="900" kern="1200"/>
            <a:t>Patients on interview panels </a:t>
          </a:r>
        </a:p>
      </dsp:txBody>
      <dsp:txXfrm rot="5400000">
        <a:off x="3337783" y="640080"/>
        <a:ext cx="1034057" cy="1920240"/>
      </dsp:txXfrm>
    </dsp:sp>
    <dsp:sp modelId="{6932A63D-E0E5-4399-A219-6A5837F83EB3}">
      <dsp:nvSpPr>
        <dsp:cNvPr id="0" name=""/>
        <dsp:cNvSpPr/>
      </dsp:nvSpPr>
      <dsp:spPr>
        <a:xfrm rot="16200000">
          <a:off x="3366224" y="1083171"/>
          <a:ext cx="3200400" cy="1034057"/>
        </a:xfrm>
        <a:prstGeom prst="flowChartManualOperati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0" rIns="76677" bIns="0" numCol="1" spcCol="1270" anchor="t" anchorCtr="0">
          <a:noAutofit/>
        </a:bodyPr>
        <a:lstStyle/>
        <a:p>
          <a:pPr lvl="0" algn="l" defTabSz="533400">
            <a:lnSpc>
              <a:spcPct val="90000"/>
            </a:lnSpc>
            <a:spcBef>
              <a:spcPct val="0"/>
            </a:spcBef>
            <a:spcAft>
              <a:spcPct val="35000"/>
            </a:spcAft>
          </a:pPr>
          <a:r>
            <a:rPr lang="en-GB" sz="1200" b="1" kern="1200"/>
            <a:t>Devolving</a:t>
          </a:r>
        </a:p>
        <a:p>
          <a:pPr marL="57150" lvl="1" indent="-57150" algn="l" defTabSz="400050">
            <a:lnSpc>
              <a:spcPct val="90000"/>
            </a:lnSpc>
            <a:spcBef>
              <a:spcPct val="0"/>
            </a:spcBef>
            <a:spcAft>
              <a:spcPct val="15000"/>
            </a:spcAft>
            <a:buChar char="••"/>
          </a:pPr>
          <a:r>
            <a:rPr lang="en-GB" sz="900" kern="1200"/>
            <a:t>Patients chairing boards</a:t>
          </a:r>
        </a:p>
        <a:p>
          <a:pPr marL="57150" lvl="1" indent="-57150" algn="l" defTabSz="400050">
            <a:lnSpc>
              <a:spcPct val="90000"/>
            </a:lnSpc>
            <a:spcBef>
              <a:spcPct val="0"/>
            </a:spcBef>
            <a:spcAft>
              <a:spcPct val="15000"/>
            </a:spcAft>
            <a:buChar char="••"/>
          </a:pPr>
          <a:r>
            <a:rPr lang="en-GB" sz="900" kern="1200"/>
            <a:t>placing decision making in the hands of the community and individuals</a:t>
          </a:r>
        </a:p>
      </dsp:txBody>
      <dsp:txXfrm rot="5400000">
        <a:off x="4449395" y="640080"/>
        <a:ext cx="1034057"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F2D0D965345FB82FDDA480E1DD469" ma:contentTypeVersion="1" ma:contentTypeDescription="Create a new document." ma:contentTypeScope="" ma:versionID="e3a8630c1305049f2a88d2b563afc3b8">
  <xsd:schema xmlns:xsd="http://www.w3.org/2001/XMLSchema" xmlns:p="http://schemas.microsoft.com/office/2006/metadata/properties" xmlns:ns1="http://schemas.microsoft.com/sharepoint/v3" targetNamespace="http://schemas.microsoft.com/office/2006/metadata/properties" ma:root="true" ma:fieldsID="13d158c85a59360c35d7110bba1d46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165C-C030-4945-A17A-C252514B801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7E24ED4-202B-445F-ADC1-75DFD9C24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11D77A-DA5E-495D-8004-C625991D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773E46EB</Template>
  <TotalTime>0</TotalTime>
  <Pages>11</Pages>
  <Words>2864</Words>
  <Characters>15642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Experience Strategy</dc:title>
  <dc:creator>Hazel Hardyman</dc:creator>
  <cp:lastModifiedBy>aau</cp:lastModifiedBy>
  <cp:revision>2</cp:revision>
  <cp:lastPrinted>2019-01-08T12:24:00Z</cp:lastPrinted>
  <dcterms:created xsi:type="dcterms:W3CDTF">2020-05-26T08:17:00Z</dcterms:created>
  <dcterms:modified xsi:type="dcterms:W3CDTF">2020-05-26T08:17:00Z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3e95dc66-aa57-4eb3-9e98-b20cf82af805</vt:lpwstr>
  </property>
  <property fmtid="{D5CDD505-2E9C-101B-9397-08002B2CF9AE}" pid="3" name="ContentTypeId">
    <vt:lpwstr>0x010100D58F2D0D965345FB82FDDA480E1DD469</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